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58" w:rsidRPr="00CE5CE5" w:rsidRDefault="00F52258" w:rsidP="0066777D">
      <w:pPr>
        <w:autoSpaceDE w:val="0"/>
        <w:autoSpaceDN w:val="0"/>
        <w:adjustRightInd w:val="0"/>
        <w:jc w:val="center"/>
        <w:rPr>
          <w:rFonts w:eastAsia="TTB7CF9C5CtCID-WinCharSetFFFF-H"/>
          <w:kern w:val="0"/>
          <w:sz w:val="56"/>
          <w:szCs w:val="56"/>
        </w:rPr>
      </w:pPr>
    </w:p>
    <w:p w:rsidR="00F52258" w:rsidRPr="00CE5CE5" w:rsidRDefault="00F52258" w:rsidP="0066777D">
      <w:pPr>
        <w:autoSpaceDE w:val="0"/>
        <w:autoSpaceDN w:val="0"/>
        <w:adjustRightInd w:val="0"/>
        <w:jc w:val="center"/>
        <w:rPr>
          <w:rFonts w:eastAsia="TTB7CF9C5CtCID-WinCharSetFFFF-H"/>
          <w:kern w:val="0"/>
          <w:sz w:val="56"/>
          <w:szCs w:val="56"/>
        </w:rPr>
      </w:pPr>
    </w:p>
    <w:p w:rsidR="00F52258" w:rsidRPr="00D773C1" w:rsidRDefault="00F52258" w:rsidP="0066777D">
      <w:pPr>
        <w:autoSpaceDE w:val="0"/>
        <w:autoSpaceDN w:val="0"/>
        <w:adjustRightInd w:val="0"/>
        <w:jc w:val="center"/>
        <w:rPr>
          <w:rFonts w:ascii="新細明體"/>
          <w:kern w:val="0"/>
          <w:sz w:val="52"/>
          <w:szCs w:val="52"/>
        </w:rPr>
      </w:pPr>
      <w:r w:rsidRPr="004315B7">
        <w:rPr>
          <w:rFonts w:ascii="新細明體" w:hAnsi="新細明體"/>
          <w:kern w:val="0"/>
          <w:sz w:val="52"/>
          <w:szCs w:val="52"/>
        </w:rPr>
        <w:t>2010</w:t>
      </w:r>
      <w:r w:rsidRPr="004315B7">
        <w:rPr>
          <w:rFonts w:ascii="新細明體" w:hAnsi="新細明體" w:hint="eastAsia"/>
          <w:kern w:val="0"/>
          <w:sz w:val="52"/>
          <w:szCs w:val="52"/>
        </w:rPr>
        <w:t>年兩岸暑期學術交流</w:t>
      </w:r>
      <w:r w:rsidRPr="004315B7">
        <w:rPr>
          <w:rFonts w:ascii="新細明體" w:hAnsi="新細明體"/>
          <w:kern w:val="0"/>
          <w:sz w:val="52"/>
          <w:szCs w:val="52"/>
        </w:rPr>
        <w:t xml:space="preserve"> </w:t>
      </w:r>
      <w:r w:rsidRPr="004315B7">
        <w:rPr>
          <w:rFonts w:ascii="新細明體" w:hAnsi="新細明體" w:hint="eastAsia"/>
          <w:kern w:val="0"/>
          <w:sz w:val="52"/>
          <w:szCs w:val="52"/>
        </w:rPr>
        <w:t>專題報告</w:t>
      </w:r>
    </w:p>
    <w:p w:rsidR="00F52258" w:rsidRDefault="00F52258" w:rsidP="0066777D">
      <w:pPr>
        <w:autoSpaceDE w:val="0"/>
        <w:autoSpaceDN w:val="0"/>
        <w:adjustRightInd w:val="0"/>
        <w:rPr>
          <w:rFonts w:ascii="新細明體"/>
          <w:kern w:val="0"/>
          <w:sz w:val="56"/>
          <w:szCs w:val="56"/>
        </w:rPr>
      </w:pPr>
    </w:p>
    <w:p w:rsidR="00F52258" w:rsidRPr="0066777D" w:rsidRDefault="00F52258" w:rsidP="0066777D">
      <w:pPr>
        <w:autoSpaceDE w:val="0"/>
        <w:autoSpaceDN w:val="0"/>
        <w:adjustRightInd w:val="0"/>
        <w:rPr>
          <w:rFonts w:ascii="新細明體"/>
          <w:kern w:val="0"/>
          <w:sz w:val="41"/>
          <w:szCs w:val="41"/>
        </w:rPr>
      </w:pPr>
    </w:p>
    <w:p w:rsidR="00F52258" w:rsidRPr="0066777D" w:rsidRDefault="00F52258" w:rsidP="0066777D">
      <w:pPr>
        <w:autoSpaceDE w:val="0"/>
        <w:autoSpaceDN w:val="0"/>
        <w:adjustRightInd w:val="0"/>
        <w:rPr>
          <w:rFonts w:ascii="新細明體"/>
          <w:kern w:val="0"/>
          <w:sz w:val="41"/>
          <w:szCs w:val="41"/>
        </w:rPr>
      </w:pPr>
    </w:p>
    <w:p w:rsidR="00F52258" w:rsidRPr="0055685C" w:rsidRDefault="00F52258" w:rsidP="004315B7">
      <w:pPr>
        <w:autoSpaceDE w:val="0"/>
        <w:autoSpaceDN w:val="0"/>
        <w:adjustRightInd w:val="0"/>
        <w:jc w:val="center"/>
        <w:rPr>
          <w:rFonts w:ascii="新細明體"/>
          <w:kern w:val="0"/>
          <w:sz w:val="42"/>
          <w:szCs w:val="42"/>
        </w:rPr>
      </w:pPr>
      <w:r w:rsidRPr="004315B7">
        <w:rPr>
          <w:rStyle w:val="apple-style-span"/>
          <w:rFonts w:ascii="新細明體" w:hAnsi="新細明體" w:cs="Arial" w:hint="eastAsia"/>
          <w:sz w:val="42"/>
          <w:szCs w:val="42"/>
        </w:rPr>
        <w:t>均值方差和等權重兩種</w:t>
      </w:r>
      <w:r w:rsidRPr="004315B7">
        <w:rPr>
          <w:rStyle w:val="apple-style-span"/>
          <w:rFonts w:ascii="新細明體" w:hAnsi="新細明體" w:cs="Segoe UI" w:hint="eastAsia"/>
          <w:sz w:val="42"/>
          <w:szCs w:val="42"/>
        </w:rPr>
        <w:t>套利策略之比較分析</w:t>
      </w:r>
    </w:p>
    <w:p w:rsidR="00F52258" w:rsidRPr="0066777D" w:rsidRDefault="00F52258" w:rsidP="0066777D">
      <w:pPr>
        <w:spacing w:line="360" w:lineRule="auto"/>
        <w:jc w:val="center"/>
        <w:rPr>
          <w:rFonts w:ascii="新細明體"/>
          <w:sz w:val="28"/>
          <w:szCs w:val="28"/>
        </w:rPr>
      </w:pPr>
    </w:p>
    <w:p w:rsidR="00F52258" w:rsidRPr="0066777D" w:rsidRDefault="00F52258" w:rsidP="0066777D">
      <w:pPr>
        <w:spacing w:line="360" w:lineRule="auto"/>
        <w:jc w:val="center"/>
        <w:rPr>
          <w:rFonts w:ascii="新細明體"/>
          <w:sz w:val="28"/>
          <w:szCs w:val="28"/>
        </w:rPr>
      </w:pPr>
    </w:p>
    <w:p w:rsidR="00F52258" w:rsidRDefault="00F52258" w:rsidP="0066777D">
      <w:pPr>
        <w:spacing w:line="360" w:lineRule="auto"/>
        <w:rPr>
          <w:rFonts w:ascii="新細明體"/>
          <w:sz w:val="28"/>
          <w:szCs w:val="28"/>
        </w:rPr>
      </w:pPr>
    </w:p>
    <w:p w:rsidR="00F52258" w:rsidRPr="0066777D" w:rsidRDefault="00F52258" w:rsidP="0066777D">
      <w:pPr>
        <w:spacing w:line="360" w:lineRule="auto"/>
        <w:rPr>
          <w:rFonts w:ascii="新細明體"/>
          <w:sz w:val="28"/>
          <w:szCs w:val="28"/>
        </w:rPr>
      </w:pPr>
    </w:p>
    <w:p w:rsidR="00F52258" w:rsidRDefault="00F52258" w:rsidP="00AE19B6">
      <w:pPr>
        <w:spacing w:line="360" w:lineRule="auto"/>
        <w:jc w:val="center"/>
        <w:rPr>
          <w:rFonts w:ascii="新細明體"/>
          <w:sz w:val="28"/>
          <w:szCs w:val="28"/>
        </w:rPr>
      </w:pPr>
      <w:r w:rsidRPr="004315B7">
        <w:rPr>
          <w:rFonts w:ascii="新細明體" w:hAnsi="新細明體" w:hint="eastAsia"/>
          <w:sz w:val="28"/>
          <w:szCs w:val="28"/>
        </w:rPr>
        <w:t>作者：黃詩婷</w:t>
      </w:r>
    </w:p>
    <w:p w:rsidR="00F52258" w:rsidRPr="0066777D" w:rsidRDefault="00F52258" w:rsidP="00AE19B6">
      <w:pPr>
        <w:spacing w:line="360" w:lineRule="auto"/>
        <w:jc w:val="center"/>
        <w:rPr>
          <w:rFonts w:ascii="新細明體"/>
          <w:sz w:val="28"/>
          <w:szCs w:val="28"/>
        </w:rPr>
      </w:pPr>
      <w:r w:rsidRPr="004315B7">
        <w:rPr>
          <w:rFonts w:ascii="新細明體" w:hAnsi="新細明體" w:hint="eastAsia"/>
          <w:sz w:val="28"/>
          <w:szCs w:val="28"/>
        </w:rPr>
        <w:t>清華大學科管院計量財務金融學系</w:t>
      </w:r>
    </w:p>
    <w:p w:rsidR="00F52258" w:rsidRPr="0066777D" w:rsidRDefault="00F52258" w:rsidP="00AE19B6">
      <w:pPr>
        <w:spacing w:line="360" w:lineRule="auto"/>
        <w:jc w:val="center"/>
        <w:rPr>
          <w:rFonts w:ascii="新細明體"/>
          <w:sz w:val="28"/>
          <w:szCs w:val="28"/>
        </w:rPr>
      </w:pPr>
      <w:r w:rsidRPr="004315B7">
        <w:rPr>
          <w:rFonts w:ascii="新細明體" w:hAnsi="新細明體" w:hint="eastAsia"/>
          <w:sz w:val="28"/>
          <w:szCs w:val="28"/>
        </w:rPr>
        <w:t>指導教授：方曙紅教授</w:t>
      </w:r>
    </w:p>
    <w:p w:rsidR="00F52258" w:rsidRPr="0066777D" w:rsidRDefault="00F52258" w:rsidP="00AE19B6">
      <w:pPr>
        <w:spacing w:line="360" w:lineRule="auto"/>
        <w:jc w:val="center"/>
        <w:rPr>
          <w:rFonts w:ascii="新細明體"/>
          <w:sz w:val="28"/>
          <w:szCs w:val="28"/>
        </w:rPr>
      </w:pPr>
      <w:r w:rsidRPr="004315B7">
        <w:rPr>
          <w:rFonts w:ascii="新細明體" w:hAnsi="新細明體" w:hint="eastAsia"/>
          <w:sz w:val="28"/>
          <w:szCs w:val="28"/>
        </w:rPr>
        <w:t>復旦大學管理學院財務金融系</w:t>
      </w:r>
    </w:p>
    <w:p w:rsidR="00F52258" w:rsidRPr="0066777D" w:rsidRDefault="00F52258" w:rsidP="0066777D">
      <w:pPr>
        <w:spacing w:line="360" w:lineRule="auto"/>
        <w:jc w:val="center"/>
        <w:rPr>
          <w:rFonts w:ascii="新細明體"/>
          <w:sz w:val="28"/>
          <w:szCs w:val="28"/>
        </w:rPr>
      </w:pPr>
    </w:p>
    <w:p w:rsidR="00F52258" w:rsidRDefault="00F52258" w:rsidP="0066777D">
      <w:pPr>
        <w:spacing w:line="360" w:lineRule="auto"/>
        <w:rPr>
          <w:rFonts w:eastAsia="標楷體"/>
          <w:sz w:val="28"/>
          <w:szCs w:val="28"/>
        </w:rPr>
      </w:pPr>
    </w:p>
    <w:p w:rsidR="00F52258" w:rsidRDefault="00F52258" w:rsidP="0066777D">
      <w:pPr>
        <w:spacing w:line="360" w:lineRule="auto"/>
        <w:jc w:val="center"/>
        <w:rPr>
          <w:rFonts w:ascii="新細明體"/>
          <w:sz w:val="28"/>
          <w:szCs w:val="28"/>
        </w:rPr>
      </w:pPr>
      <w:r w:rsidRPr="004315B7">
        <w:rPr>
          <w:rFonts w:ascii="新細明體" w:hAnsi="新細明體"/>
          <w:sz w:val="28"/>
          <w:szCs w:val="28"/>
        </w:rPr>
        <w:t>2010</w:t>
      </w:r>
      <w:r w:rsidRPr="004315B7">
        <w:rPr>
          <w:rFonts w:ascii="新細明體" w:hAnsi="新細明體" w:hint="eastAsia"/>
          <w:sz w:val="28"/>
          <w:szCs w:val="28"/>
        </w:rPr>
        <w:t>年</w:t>
      </w:r>
      <w:r w:rsidRPr="004315B7">
        <w:rPr>
          <w:rFonts w:ascii="新細明體" w:hAnsi="新細明體"/>
          <w:sz w:val="28"/>
          <w:szCs w:val="28"/>
        </w:rPr>
        <w:t>8</w:t>
      </w:r>
      <w:r w:rsidRPr="004315B7">
        <w:rPr>
          <w:rFonts w:ascii="新細明體" w:hAnsi="新細明體" w:hint="eastAsia"/>
          <w:sz w:val="28"/>
          <w:szCs w:val="28"/>
        </w:rPr>
        <w:t>月</w:t>
      </w:r>
    </w:p>
    <w:p w:rsidR="00F52258" w:rsidRPr="00880A1E" w:rsidRDefault="00F52258" w:rsidP="00B311CE">
      <w:pPr>
        <w:widowControl/>
        <w:tabs>
          <w:tab w:val="center" w:pos="4153"/>
          <w:tab w:val="left" w:pos="7005"/>
        </w:tabs>
        <w:rPr>
          <w:rFonts w:ascii="新細明體"/>
          <w:sz w:val="28"/>
          <w:szCs w:val="28"/>
        </w:rPr>
      </w:pPr>
      <w:r>
        <w:rPr>
          <w:rFonts w:ascii="新細明體"/>
          <w:sz w:val="28"/>
          <w:szCs w:val="28"/>
        </w:rPr>
        <w:br w:type="page"/>
      </w:r>
      <w:r>
        <w:rPr>
          <w:rFonts w:ascii="新細明體"/>
          <w:sz w:val="28"/>
          <w:szCs w:val="28"/>
        </w:rPr>
        <w:tab/>
      </w:r>
      <w:r w:rsidRPr="004315B7">
        <w:rPr>
          <w:rFonts w:ascii="新細明體" w:hAnsi="新細明體" w:hint="eastAsia"/>
          <w:sz w:val="28"/>
          <w:szCs w:val="28"/>
        </w:rPr>
        <w:t>章節目錄</w:t>
      </w:r>
      <w:r>
        <w:rPr>
          <w:rFonts w:ascii="新細明體"/>
          <w:sz w:val="28"/>
          <w:szCs w:val="28"/>
        </w:rPr>
        <w:tab/>
      </w:r>
    </w:p>
    <w:p w:rsidR="00F52258" w:rsidRDefault="00F52258" w:rsidP="00B311CE">
      <w:pPr>
        <w:pStyle w:val="TOC1"/>
      </w:pPr>
      <w:r w:rsidRPr="00880A1E">
        <w:fldChar w:fldCharType="begin"/>
      </w:r>
      <w:r w:rsidRPr="00880A1E">
        <w:instrText xml:space="preserve"> TOC \o "1-2" \h \z \u </w:instrText>
      </w:r>
      <w:r w:rsidRPr="00880A1E">
        <w:fldChar w:fldCharType="separate"/>
      </w:r>
      <w:hyperlink w:anchor="_Toc233098718" w:history="1">
        <w:r>
          <w:rPr>
            <w:rStyle w:val="Hyperlink"/>
            <w:rFonts w:hint="eastAsia"/>
            <w:noProof/>
          </w:rPr>
          <w:t>摘要</w:t>
        </w:r>
        <w:r w:rsidRPr="00880A1E">
          <w:rPr>
            <w:rStyle w:val="Hyperlink"/>
            <w:noProof/>
          </w:rPr>
          <w:tab/>
        </w:r>
        <w:r>
          <w:rPr>
            <w:rStyle w:val="Hyperlink"/>
            <w:noProof/>
          </w:rPr>
          <w:t>3</w:t>
        </w:r>
      </w:hyperlink>
    </w:p>
    <w:p w:rsidR="00F52258" w:rsidRDefault="00F52258" w:rsidP="00B311CE">
      <w:pPr>
        <w:spacing w:line="300" w:lineRule="auto"/>
      </w:pPr>
      <w:r w:rsidRPr="004315B7">
        <w:rPr>
          <w:rFonts w:hint="eastAsia"/>
        </w:rPr>
        <w:t>第一章</w:t>
      </w:r>
      <w:r w:rsidRPr="004315B7">
        <w:t xml:space="preserve">  </w:t>
      </w:r>
      <w:r w:rsidRPr="004315B7">
        <w:rPr>
          <w:rFonts w:hint="eastAsia"/>
        </w:rPr>
        <w:t>前言</w:t>
      </w:r>
      <w:r w:rsidRPr="00A35361">
        <w:rPr>
          <w:b/>
        </w:rPr>
        <w:t>…………………………………………………………………………</w:t>
      </w:r>
      <w:r>
        <w:t>3</w:t>
      </w:r>
    </w:p>
    <w:p w:rsidR="00F52258" w:rsidRPr="00880A1E" w:rsidRDefault="00F52258" w:rsidP="00B311CE">
      <w:pPr>
        <w:pStyle w:val="TOC1"/>
        <w:rPr>
          <w:noProof/>
          <w:kern w:val="2"/>
        </w:rPr>
      </w:pPr>
      <w:hyperlink w:anchor="_Toc233098724" w:history="1">
        <w:r>
          <w:rPr>
            <w:rStyle w:val="Hyperlink"/>
            <w:rFonts w:hint="eastAsia"/>
            <w:noProof/>
          </w:rPr>
          <w:t>第二</w:t>
        </w:r>
        <w:r w:rsidRPr="00880A1E">
          <w:rPr>
            <w:rStyle w:val="Hyperlink"/>
            <w:rFonts w:hint="eastAsia"/>
            <w:noProof/>
          </w:rPr>
          <w:t>章</w:t>
        </w:r>
        <w:r>
          <w:rPr>
            <w:noProof/>
            <w:kern w:val="2"/>
          </w:rPr>
          <w:t xml:space="preserve">  </w:t>
        </w:r>
        <w:r w:rsidRPr="00880A1E">
          <w:rPr>
            <w:rStyle w:val="Hyperlink"/>
            <w:rFonts w:hint="eastAsia"/>
            <w:noProof/>
          </w:rPr>
          <w:t>研究方法</w:t>
        </w:r>
        <w:r w:rsidRPr="00880A1E">
          <w:rPr>
            <w:noProof/>
            <w:webHidden/>
          </w:rPr>
          <w:tab/>
        </w:r>
        <w:r>
          <w:rPr>
            <w:noProof/>
            <w:webHidden/>
          </w:rPr>
          <w:t>4</w:t>
        </w:r>
      </w:hyperlink>
    </w:p>
    <w:p w:rsidR="00F52258" w:rsidRPr="00880A1E" w:rsidRDefault="00F52258" w:rsidP="00B311CE">
      <w:pPr>
        <w:pStyle w:val="TOC2"/>
        <w:tabs>
          <w:tab w:val="right" w:leader="dot" w:pos="8302"/>
        </w:tabs>
        <w:spacing w:line="300" w:lineRule="auto"/>
        <w:rPr>
          <w:rFonts w:ascii="新細明體"/>
          <w:noProof/>
          <w:kern w:val="2"/>
          <w:sz w:val="24"/>
          <w:szCs w:val="24"/>
        </w:rPr>
      </w:pPr>
      <w:hyperlink w:anchor="_Toc233098725" w:history="1">
        <w:r w:rsidRPr="00880A1E">
          <w:rPr>
            <w:rStyle w:val="Hyperlink"/>
            <w:rFonts w:ascii="新細明體" w:hAnsi="新細明體" w:hint="eastAsia"/>
            <w:noProof/>
            <w:sz w:val="24"/>
            <w:szCs w:val="24"/>
          </w:rPr>
          <w:t>第一節</w:t>
        </w:r>
        <w:r w:rsidRPr="00880A1E">
          <w:rPr>
            <w:rStyle w:val="Hyperlink"/>
            <w:rFonts w:ascii="新細明體" w:hAnsi="新細明體"/>
            <w:noProof/>
            <w:sz w:val="24"/>
            <w:szCs w:val="24"/>
          </w:rPr>
          <w:t xml:space="preserve"> </w:t>
        </w:r>
        <w:r w:rsidRPr="00880A1E">
          <w:rPr>
            <w:rStyle w:val="Hyperlink"/>
            <w:rFonts w:ascii="新細明體" w:hAnsi="新細明體" w:hint="eastAsia"/>
            <w:noProof/>
            <w:sz w:val="24"/>
            <w:szCs w:val="24"/>
          </w:rPr>
          <w:t>研究模型</w:t>
        </w:r>
        <w:r w:rsidRPr="00880A1E">
          <w:rPr>
            <w:rFonts w:ascii="新細明體"/>
            <w:noProof/>
            <w:webHidden/>
            <w:sz w:val="24"/>
            <w:szCs w:val="24"/>
          </w:rPr>
          <w:tab/>
        </w:r>
        <w:r>
          <w:rPr>
            <w:rFonts w:ascii="新細明體" w:hAnsi="新細明體"/>
            <w:noProof/>
            <w:webHidden/>
            <w:sz w:val="24"/>
            <w:szCs w:val="24"/>
          </w:rPr>
          <w:t>4</w:t>
        </w:r>
      </w:hyperlink>
    </w:p>
    <w:p w:rsidR="00F52258" w:rsidRPr="00880A1E" w:rsidRDefault="00F52258" w:rsidP="00B311CE">
      <w:pPr>
        <w:pStyle w:val="TOC2"/>
        <w:tabs>
          <w:tab w:val="right" w:leader="dot" w:pos="8302"/>
        </w:tabs>
        <w:spacing w:line="300" w:lineRule="auto"/>
        <w:rPr>
          <w:rFonts w:ascii="新細明體"/>
          <w:noProof/>
          <w:kern w:val="2"/>
          <w:sz w:val="24"/>
          <w:szCs w:val="24"/>
        </w:rPr>
      </w:pPr>
      <w:hyperlink w:anchor="_Toc233098726" w:history="1">
        <w:r w:rsidRPr="00880A1E">
          <w:rPr>
            <w:rStyle w:val="Hyperlink"/>
            <w:rFonts w:ascii="新細明體" w:hAnsi="新細明體" w:hint="eastAsia"/>
            <w:noProof/>
            <w:sz w:val="24"/>
            <w:szCs w:val="24"/>
          </w:rPr>
          <w:t>第二節</w:t>
        </w:r>
        <w:r w:rsidRPr="00880A1E">
          <w:rPr>
            <w:rStyle w:val="Hyperlink"/>
            <w:rFonts w:ascii="新細明體" w:hAnsi="新細明體"/>
            <w:noProof/>
            <w:sz w:val="24"/>
            <w:szCs w:val="24"/>
          </w:rPr>
          <w:t xml:space="preserve"> </w:t>
        </w:r>
        <w:r w:rsidRPr="00880A1E">
          <w:rPr>
            <w:rStyle w:val="Hyperlink"/>
            <w:rFonts w:ascii="新細明體" w:hAnsi="新細明體" w:hint="eastAsia"/>
            <w:noProof/>
            <w:sz w:val="24"/>
            <w:szCs w:val="24"/>
          </w:rPr>
          <w:t>實證模型</w:t>
        </w:r>
        <w:r w:rsidRPr="00880A1E">
          <w:rPr>
            <w:rFonts w:ascii="新細明體"/>
            <w:noProof/>
            <w:webHidden/>
            <w:sz w:val="24"/>
            <w:szCs w:val="24"/>
          </w:rPr>
          <w:tab/>
        </w:r>
        <w:r>
          <w:rPr>
            <w:rFonts w:ascii="新細明體" w:hAnsi="新細明體"/>
            <w:noProof/>
            <w:webHidden/>
            <w:sz w:val="24"/>
            <w:szCs w:val="24"/>
          </w:rPr>
          <w:t>5</w:t>
        </w:r>
      </w:hyperlink>
    </w:p>
    <w:p w:rsidR="00F52258" w:rsidRDefault="00F52258" w:rsidP="00B311CE">
      <w:pPr>
        <w:pStyle w:val="TOC1"/>
      </w:pPr>
      <w:hyperlink w:anchor="_Toc233098730" w:history="1">
        <w:r>
          <w:rPr>
            <w:rStyle w:val="Hyperlink"/>
            <w:rFonts w:hint="eastAsia"/>
            <w:noProof/>
          </w:rPr>
          <w:t>第三</w:t>
        </w:r>
        <w:r w:rsidRPr="00880A1E">
          <w:rPr>
            <w:rStyle w:val="Hyperlink"/>
            <w:rFonts w:hint="eastAsia"/>
            <w:noProof/>
          </w:rPr>
          <w:t>章</w:t>
        </w:r>
        <w:r>
          <w:rPr>
            <w:rStyle w:val="Hyperlink"/>
            <w:noProof/>
          </w:rPr>
          <w:t xml:space="preserve">  </w:t>
        </w:r>
        <w:r w:rsidRPr="00880A1E">
          <w:rPr>
            <w:rStyle w:val="Hyperlink"/>
            <w:rFonts w:hint="eastAsia"/>
            <w:noProof/>
          </w:rPr>
          <w:t>實證結果分析</w:t>
        </w:r>
        <w:r w:rsidRPr="00880A1E">
          <w:rPr>
            <w:noProof/>
            <w:webHidden/>
          </w:rPr>
          <w:tab/>
        </w:r>
        <w:r>
          <w:rPr>
            <w:noProof/>
            <w:webHidden/>
          </w:rPr>
          <w:t>7</w:t>
        </w:r>
      </w:hyperlink>
    </w:p>
    <w:p w:rsidR="00F52258" w:rsidRDefault="00F52258" w:rsidP="002F7319">
      <w:pPr>
        <w:tabs>
          <w:tab w:val="right" w:pos="8306"/>
        </w:tabs>
        <w:spacing w:line="300" w:lineRule="auto"/>
      </w:pPr>
      <w:r w:rsidRPr="004315B7">
        <w:t xml:space="preserve">  </w:t>
      </w:r>
      <w:r w:rsidRPr="004315B7">
        <w:rPr>
          <w:rFonts w:hint="eastAsia"/>
        </w:rPr>
        <w:t>第一節</w:t>
      </w:r>
      <w:r w:rsidRPr="004315B7">
        <w:t xml:space="preserve"> </w:t>
      </w:r>
      <w:r w:rsidRPr="004315B7">
        <w:rPr>
          <w:rFonts w:hint="eastAsia"/>
        </w:rPr>
        <w:t>資料來源</w:t>
      </w:r>
      <w:r w:rsidRPr="00A35361">
        <w:rPr>
          <w:b/>
        </w:rPr>
        <w:t>………………………………………………………………….</w:t>
      </w:r>
      <w:r>
        <w:t>.7</w:t>
      </w:r>
      <w:r>
        <w:tab/>
      </w:r>
    </w:p>
    <w:p w:rsidR="00F52258" w:rsidRPr="002172FB" w:rsidRDefault="00F52258" w:rsidP="00B311CE">
      <w:pPr>
        <w:spacing w:line="300" w:lineRule="auto"/>
      </w:pPr>
      <w:r w:rsidRPr="004315B7">
        <w:t xml:space="preserve">  </w:t>
      </w:r>
      <w:r w:rsidRPr="004315B7">
        <w:rPr>
          <w:rFonts w:hint="eastAsia"/>
        </w:rPr>
        <w:t>第二節</w:t>
      </w:r>
      <w:r w:rsidRPr="004315B7">
        <w:t xml:space="preserve"> </w:t>
      </w:r>
      <w:r w:rsidRPr="004315B7">
        <w:rPr>
          <w:rFonts w:hint="eastAsia"/>
        </w:rPr>
        <w:t>實驗結果</w:t>
      </w:r>
      <w:r w:rsidRPr="00797E59">
        <w:rPr>
          <w:b/>
        </w:rPr>
        <w:t>…………………………………………………………………..</w:t>
      </w:r>
      <w:r>
        <w:t>8</w:t>
      </w:r>
    </w:p>
    <w:p w:rsidR="00F52258" w:rsidRPr="00880A1E" w:rsidRDefault="00F52258" w:rsidP="00B311CE">
      <w:pPr>
        <w:pStyle w:val="TOC1"/>
        <w:rPr>
          <w:noProof/>
          <w:kern w:val="2"/>
        </w:rPr>
      </w:pPr>
      <w:hyperlink w:anchor="_Toc233098734" w:history="1">
        <w:r>
          <w:rPr>
            <w:rStyle w:val="Hyperlink"/>
            <w:rFonts w:hint="eastAsia"/>
            <w:noProof/>
          </w:rPr>
          <w:t>第四</w:t>
        </w:r>
        <w:r w:rsidRPr="00880A1E">
          <w:rPr>
            <w:rStyle w:val="Hyperlink"/>
            <w:rFonts w:hint="eastAsia"/>
            <w:noProof/>
          </w:rPr>
          <w:t>章</w:t>
        </w:r>
        <w:r w:rsidRPr="00880A1E">
          <w:rPr>
            <w:rStyle w:val="Hyperlink"/>
            <w:noProof/>
          </w:rPr>
          <w:t xml:space="preserve"> </w:t>
        </w:r>
        <w:r>
          <w:rPr>
            <w:rStyle w:val="Hyperlink"/>
            <w:noProof/>
          </w:rPr>
          <w:t xml:space="preserve"> </w:t>
        </w:r>
        <w:r w:rsidRPr="00880A1E">
          <w:rPr>
            <w:rStyle w:val="Hyperlink"/>
            <w:rFonts w:hint="eastAsia"/>
            <w:noProof/>
          </w:rPr>
          <w:t>結論與建議</w:t>
        </w:r>
        <w:r w:rsidRPr="00880A1E">
          <w:rPr>
            <w:noProof/>
            <w:webHidden/>
          </w:rPr>
          <w:tab/>
        </w:r>
        <w:r>
          <w:rPr>
            <w:noProof/>
            <w:webHidden/>
          </w:rPr>
          <w:t>13</w:t>
        </w:r>
      </w:hyperlink>
    </w:p>
    <w:p w:rsidR="00F52258" w:rsidRPr="00F240C3" w:rsidRDefault="00F52258" w:rsidP="00B311CE">
      <w:pPr>
        <w:pStyle w:val="TOC1"/>
        <w:rPr>
          <w:noProof/>
          <w:kern w:val="2"/>
        </w:rPr>
      </w:pPr>
      <w:hyperlink w:anchor="_Toc233098735" w:history="1">
        <w:r w:rsidRPr="00F240C3">
          <w:rPr>
            <w:rStyle w:val="Hyperlink"/>
            <w:rFonts w:hint="eastAsia"/>
            <w:noProof/>
          </w:rPr>
          <w:t>參考文獻</w:t>
        </w:r>
        <w:r w:rsidRPr="00F240C3">
          <w:rPr>
            <w:noProof/>
            <w:webHidden/>
          </w:rPr>
          <w:tab/>
        </w:r>
        <w:r w:rsidRPr="00F240C3">
          <w:rPr>
            <w:noProof/>
            <w:webHidden/>
          </w:rPr>
          <w:fldChar w:fldCharType="begin"/>
        </w:r>
        <w:r w:rsidRPr="00F240C3">
          <w:rPr>
            <w:noProof/>
            <w:webHidden/>
          </w:rPr>
          <w:instrText xml:space="preserve"> PAGEREF _Toc233098735 \h </w:instrText>
        </w:r>
        <w:r w:rsidRPr="00F240C3">
          <w:rPr>
            <w:noProof/>
            <w:webHidden/>
          </w:rPr>
        </w:r>
        <w:r w:rsidRPr="00F240C3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Pr="00F240C3">
          <w:rPr>
            <w:noProof/>
            <w:webHidden/>
          </w:rPr>
          <w:fldChar w:fldCharType="end"/>
        </w:r>
      </w:hyperlink>
    </w:p>
    <w:p w:rsidR="00F52258" w:rsidRDefault="00F52258" w:rsidP="00880A1E">
      <w:pPr>
        <w:widowControl/>
        <w:rPr>
          <w:rFonts w:ascii="新細明體"/>
        </w:rPr>
      </w:pPr>
      <w:r w:rsidRPr="00880A1E">
        <w:fldChar w:fldCharType="end"/>
      </w:r>
    </w:p>
    <w:p w:rsidR="00F52258" w:rsidRDefault="00F52258" w:rsidP="00526346">
      <w:pPr>
        <w:widowControl/>
        <w:jc w:val="center"/>
        <w:rPr>
          <w:rFonts w:ascii="新細明體"/>
          <w:sz w:val="28"/>
          <w:szCs w:val="28"/>
        </w:rPr>
      </w:pPr>
      <w:r w:rsidRPr="004315B7">
        <w:rPr>
          <w:rFonts w:ascii="新細明體" w:hAnsi="新細明體" w:hint="eastAsia"/>
          <w:sz w:val="28"/>
          <w:szCs w:val="28"/>
        </w:rPr>
        <w:t>圖表目錄</w:t>
      </w:r>
    </w:p>
    <w:p w:rsidR="00F52258" w:rsidRPr="00803A3C" w:rsidRDefault="00F52258" w:rsidP="00B311CE">
      <w:pPr>
        <w:pStyle w:val="TOC1"/>
        <w:rPr>
          <w:noProof/>
          <w:kern w:val="2"/>
        </w:rPr>
      </w:pPr>
      <w:hyperlink w:anchor="_Toc235630362" w:history="1">
        <w:r w:rsidRPr="004315B7">
          <w:rPr>
            <w:rStyle w:val="Hyperlink"/>
            <w:rFonts w:hint="eastAsia"/>
            <w:noProof/>
            <w:color w:val="auto"/>
            <w:u w:val="none"/>
          </w:rPr>
          <w:t>表</w:t>
        </w:r>
        <w:r w:rsidRPr="004315B7">
          <w:rPr>
            <w:rStyle w:val="Hyperlink"/>
            <w:noProof/>
            <w:color w:val="auto"/>
            <w:u w:val="none"/>
          </w:rPr>
          <w:t xml:space="preserve">1 </w:t>
        </w:r>
        <w:r w:rsidRPr="004315B7">
          <w:rPr>
            <w:rStyle w:val="apple-style-span"/>
            <w:rFonts w:cs="Arial" w:hint="eastAsia"/>
          </w:rPr>
          <w:t>基本統計量：四種資產的月平均收益</w:t>
        </w:r>
        <w:r w:rsidRPr="004315B7">
          <w:rPr>
            <w:rStyle w:val="apple-style-span"/>
            <w:rFonts w:cs="Arial"/>
          </w:rPr>
          <w:t>(%)</w:t>
        </w:r>
        <w:r w:rsidRPr="00803A3C">
          <w:rPr>
            <w:noProof/>
            <w:webHidden/>
          </w:rPr>
          <w:tab/>
        </w:r>
        <w:r w:rsidRPr="004315B7">
          <w:rPr>
            <w:noProof/>
            <w:webHidden/>
          </w:rPr>
          <w:t>3</w:t>
        </w:r>
      </w:hyperlink>
    </w:p>
    <w:p w:rsidR="00F52258" w:rsidRPr="00D436B2" w:rsidRDefault="00F52258" w:rsidP="00526346">
      <w:pPr>
        <w:spacing w:line="360" w:lineRule="auto"/>
      </w:pPr>
      <w:hyperlink w:anchor="_Toc235630363" w:history="1">
        <w:r w:rsidRPr="004315B7">
          <w:rPr>
            <w:rStyle w:val="Hyperlink"/>
            <w:rFonts w:ascii="新細明體" w:hAnsi="新細明體" w:hint="eastAsia"/>
            <w:noProof/>
            <w:color w:val="auto"/>
            <w:u w:val="none"/>
          </w:rPr>
          <w:t>表</w:t>
        </w:r>
        <w:r w:rsidRPr="004315B7">
          <w:rPr>
            <w:rStyle w:val="Hyperlink"/>
            <w:rFonts w:ascii="新細明體" w:hAnsi="新細明體"/>
            <w:noProof/>
            <w:color w:val="auto"/>
            <w:u w:val="none"/>
          </w:rPr>
          <w:t>2</w:t>
        </w:r>
        <w:r w:rsidRPr="004315B7">
          <w:t xml:space="preserve"> </w:t>
        </w:r>
        <w:r>
          <w:rPr>
            <w:rFonts w:hint="eastAsia"/>
            <w:color w:val="000000"/>
            <w:kern w:val="0"/>
          </w:rPr>
          <w:t>均值方差分析</w:t>
        </w:r>
        <w:r w:rsidRPr="004315B7">
          <w:rPr>
            <w:rFonts w:ascii="新細明體" w:hAnsi="新細明體" w:cs="新細明體" w:hint="eastAsia"/>
            <w:color w:val="000000"/>
            <w:kern w:val="0"/>
          </w:rPr>
          <w:t>的權數和下一期的期望收益與</w:t>
        </w:r>
        <w:r>
          <w:rPr>
            <w:rFonts w:hint="eastAsia"/>
            <w:color w:val="000000"/>
            <w:kern w:val="0"/>
          </w:rPr>
          <w:t>等權重的</w:t>
        </w:r>
        <w:r>
          <w:rPr>
            <w:rFonts w:ascii="新細明體" w:hAnsi="新細明體" w:cs="新細明體" w:hint="eastAsia"/>
            <w:color w:val="000000"/>
            <w:kern w:val="0"/>
          </w:rPr>
          <w:t>下一期的期望收益</w:t>
        </w:r>
        <w:r w:rsidRPr="004A0102">
          <w:rPr>
            <w:b/>
            <w:color w:val="000000"/>
            <w:kern w:val="0"/>
          </w:rPr>
          <w:t>…</w:t>
        </w:r>
        <w:r>
          <w:rPr>
            <w:rFonts w:ascii="新細明體" w:hAnsi="新細明體" w:cs="新細明體"/>
            <w:color w:val="000000"/>
            <w:kern w:val="0"/>
          </w:rPr>
          <w:t>7</w:t>
        </w:r>
      </w:hyperlink>
      <w:r w:rsidRPr="00D436B2">
        <w:t xml:space="preserve"> </w:t>
      </w:r>
    </w:p>
    <w:p w:rsidR="00F52258" w:rsidRDefault="00F52258" w:rsidP="00526346">
      <w:pPr>
        <w:spacing w:line="360" w:lineRule="auto"/>
        <w:rPr>
          <w:rFonts w:ascii="Segoe UI" w:hAnsi="Segoe UI" w:cs="Segoe UI"/>
          <w:color w:val="2A2A2A"/>
        </w:rPr>
      </w:pPr>
      <w:r w:rsidRPr="004315B7">
        <w:rPr>
          <w:rStyle w:val="Hyperlink"/>
          <w:rFonts w:ascii="新細明體" w:hAnsi="新細明體" w:hint="eastAsia"/>
          <w:noProof/>
          <w:color w:val="auto"/>
          <w:u w:val="none"/>
        </w:rPr>
        <w:t>表</w:t>
      </w:r>
      <w:r w:rsidRPr="004315B7">
        <w:rPr>
          <w:rStyle w:val="Hyperlink"/>
          <w:rFonts w:ascii="新細明體" w:hAnsi="新細明體"/>
          <w:noProof/>
          <w:color w:val="auto"/>
          <w:u w:val="none"/>
        </w:rPr>
        <w:t>3</w:t>
      </w:r>
      <w:r w:rsidRPr="004315B7">
        <w:rPr>
          <w:rFonts w:ascii="Segoe UI" w:hAnsi="Segoe UI" w:cs="Segoe UI"/>
          <w:color w:val="2A2A2A"/>
        </w:rPr>
        <w:t xml:space="preserve"> </w:t>
      </w:r>
      <w:r w:rsidRPr="004A0102">
        <w:rPr>
          <w:rFonts w:hint="eastAsia"/>
          <w:color w:val="000000"/>
          <w:kern w:val="0"/>
        </w:rPr>
        <w:t>均值方差分析</w:t>
      </w:r>
      <w:r w:rsidRPr="004315B7">
        <w:rPr>
          <w:rFonts w:hint="eastAsia"/>
          <w:color w:val="000000"/>
          <w:kern w:val="0"/>
        </w:rPr>
        <w:t>和</w:t>
      </w:r>
      <w:r w:rsidRPr="004A0102">
        <w:rPr>
          <w:rFonts w:hint="eastAsia"/>
          <w:color w:val="000000"/>
          <w:kern w:val="0"/>
        </w:rPr>
        <w:t>等權重</w:t>
      </w:r>
      <w:r w:rsidRPr="004315B7">
        <w:rPr>
          <w:rFonts w:hint="eastAsia"/>
          <w:color w:val="000000"/>
          <w:kern w:val="0"/>
        </w:rPr>
        <w:t>的</w:t>
      </w:r>
      <w:r w:rsidRPr="004315B7">
        <w:rPr>
          <w:rFonts w:ascii="新細明體" w:hAnsi="新細明體" w:cs="新細明體" w:hint="eastAsia"/>
          <w:color w:val="000000"/>
          <w:kern w:val="0"/>
        </w:rPr>
        <w:t>期望值、標準差與</w:t>
      </w:r>
      <w:r w:rsidRPr="004315B7">
        <w:rPr>
          <w:rFonts w:ascii="新細明體" w:hAnsi="新細明體" w:cs="新細明體" w:hint="eastAsia"/>
          <w:kern w:val="0"/>
        </w:rPr>
        <w:t>均值方差效</w:t>
      </w:r>
      <w:r>
        <w:rPr>
          <w:rFonts w:ascii="新細明體" w:hAnsi="新細明體" w:cs="新細明體" w:hint="eastAsia"/>
          <w:kern w:val="0"/>
        </w:rPr>
        <w:t>率</w:t>
      </w:r>
      <w:r w:rsidRPr="004A0102">
        <w:rPr>
          <w:b/>
          <w:kern w:val="0"/>
        </w:rPr>
        <w:t>…………………</w:t>
      </w:r>
      <w:r>
        <w:rPr>
          <w:rFonts w:ascii="新細明體" w:hAnsi="新細明體" w:cs="新細明體"/>
          <w:kern w:val="0"/>
        </w:rPr>
        <w:t>10</w:t>
      </w:r>
    </w:p>
    <w:p w:rsidR="00F52258" w:rsidRPr="00803A3C" w:rsidRDefault="00F52258" w:rsidP="00803A3C">
      <w:pPr>
        <w:widowControl/>
        <w:rPr>
          <w:rFonts w:ascii="新細明體"/>
          <w:sz w:val="28"/>
          <w:szCs w:val="28"/>
        </w:rPr>
      </w:pPr>
      <w:r>
        <w:rPr>
          <w:rFonts w:ascii="新細明體"/>
          <w:sz w:val="28"/>
          <w:szCs w:val="28"/>
        </w:rPr>
        <w:br w:type="page"/>
      </w:r>
    </w:p>
    <w:p w:rsidR="00F52258" w:rsidRPr="00D92F45" w:rsidRDefault="00F52258" w:rsidP="00E44AC8">
      <w:pPr>
        <w:pStyle w:val="Heading1"/>
        <w:jc w:val="center"/>
        <w:rPr>
          <w:rFonts w:ascii="新細明體"/>
          <w:b w:val="0"/>
          <w:sz w:val="32"/>
          <w:szCs w:val="32"/>
        </w:rPr>
      </w:pPr>
      <w:r w:rsidRPr="004315B7">
        <w:rPr>
          <w:rFonts w:ascii="新細明體" w:hAnsi="新細明體" w:hint="eastAsia"/>
          <w:b w:val="0"/>
          <w:sz w:val="32"/>
          <w:szCs w:val="32"/>
        </w:rPr>
        <w:t>摘要</w:t>
      </w:r>
    </w:p>
    <w:p w:rsidR="00F52258" w:rsidRPr="009D2D0D" w:rsidRDefault="00F52258" w:rsidP="00130B4F">
      <w:pPr>
        <w:widowControl/>
        <w:spacing w:line="360" w:lineRule="auto"/>
        <w:rPr>
          <w:rFonts w:ascii="新細明體"/>
        </w:rPr>
      </w:pPr>
      <w:r w:rsidRPr="004315B7">
        <w:rPr>
          <w:rFonts w:ascii="新細明體" w:hAnsi="新細明體" w:hint="eastAsia"/>
        </w:rPr>
        <w:t>在眾多的套利方法中，我們選用</w:t>
      </w:r>
      <w:r>
        <w:rPr>
          <w:rStyle w:val="apple-style-span"/>
          <w:rFonts w:hint="eastAsia"/>
        </w:rPr>
        <w:t>均值方差分析</w:t>
      </w:r>
      <w:r w:rsidRPr="004315B7">
        <w:rPr>
          <w:rStyle w:val="apple-style-span"/>
          <w:rFonts w:ascii="新細明體" w:hAnsi="新細明體" w:cs="Arial" w:hint="eastAsia"/>
        </w:rPr>
        <w:t>和</w:t>
      </w:r>
      <w:r>
        <w:rPr>
          <w:rStyle w:val="apple-style-span"/>
          <w:rFonts w:hint="eastAsia"/>
        </w:rPr>
        <w:t>等權重</w:t>
      </w:r>
      <w:r w:rsidRPr="004315B7">
        <w:rPr>
          <w:rStyle w:val="apple-style-span"/>
          <w:rFonts w:ascii="新細明體" w:hAnsi="新細明體" w:cs="Arial" w:hint="eastAsia"/>
        </w:rPr>
        <w:t>兩種</w:t>
      </w:r>
      <w:r w:rsidRPr="004315B7">
        <w:rPr>
          <w:rStyle w:val="apple-style-span"/>
          <w:rFonts w:ascii="新細明體" w:hAnsi="新細明體" w:cs="Segoe UI" w:hint="eastAsia"/>
        </w:rPr>
        <w:t>套利策略，由前五年的月平均收益資料分別算出它們的最適解，代入下一期的資料中得到下一期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Style w:val="apple-style-span"/>
          <w:rFonts w:ascii="新細明體" w:hAnsi="新細明體" w:cs="Segoe UI" w:hint="eastAsia"/>
        </w:rPr>
        <w:t>收益，並以</w:t>
      </w:r>
      <w:r w:rsidRPr="004315B7">
        <w:rPr>
          <w:rStyle w:val="apple-style-span"/>
          <w:rFonts w:ascii="Segoe UI" w:hAnsi="Segoe UI" w:cs="Segoe UI" w:hint="eastAsia"/>
        </w:rPr>
        <w:t>均值方差效率做為判斷標準</w:t>
      </w:r>
      <w:r w:rsidRPr="004315B7">
        <w:rPr>
          <w:rFonts w:ascii="新細明體" w:hAnsi="新細明體" w:hint="eastAsia"/>
        </w:rPr>
        <w:t>，</w:t>
      </w:r>
      <w:r w:rsidRPr="004315B7">
        <w:rPr>
          <w:rStyle w:val="apple-style-span"/>
          <w:rFonts w:ascii="新細明體" w:hAnsi="新細明體" w:cs="Segoe UI" w:hint="eastAsia"/>
        </w:rPr>
        <w:t>分別比較</w:t>
      </w:r>
      <w:r>
        <w:rPr>
          <w:rStyle w:val="apple-style-span"/>
          <w:rFonts w:ascii="新細明體" w:hAnsi="新細明體" w:cs="Segoe UI" w:hint="eastAsia"/>
        </w:rPr>
        <w:t>與分析</w:t>
      </w:r>
      <w:r w:rsidRPr="004315B7">
        <w:rPr>
          <w:rStyle w:val="apple-style-span"/>
          <w:rFonts w:ascii="新細明體" w:hAnsi="新細明體" w:cs="Segoe UI" w:hint="eastAsia"/>
        </w:rPr>
        <w:t>兩者套利方法的效率。</w:t>
      </w:r>
    </w:p>
    <w:p w:rsidR="00F52258" w:rsidRDefault="00F52258" w:rsidP="00780FED">
      <w:pPr>
        <w:pStyle w:val="Heading1"/>
        <w:numPr>
          <w:ilvl w:val="0"/>
          <w:numId w:val="2"/>
        </w:numPr>
        <w:jc w:val="center"/>
        <w:rPr>
          <w:rStyle w:val="apple-style-span"/>
          <w:rFonts w:ascii="新細明體" w:cs="Arial"/>
          <w:b w:val="0"/>
          <w:sz w:val="32"/>
          <w:szCs w:val="32"/>
        </w:rPr>
      </w:pPr>
      <w:r>
        <w:rPr>
          <w:rStyle w:val="apple-style-span"/>
          <w:rFonts w:ascii="新細明體" w:hAnsi="新細明體" w:cs="Arial" w:hint="eastAsia"/>
          <w:b w:val="0"/>
          <w:sz w:val="32"/>
          <w:szCs w:val="32"/>
        </w:rPr>
        <w:t>前言</w:t>
      </w:r>
    </w:p>
    <w:p w:rsidR="00F52258" w:rsidRPr="00780FED" w:rsidRDefault="00F52258" w:rsidP="007341B5">
      <w:pPr>
        <w:spacing w:line="360" w:lineRule="auto"/>
      </w:pPr>
      <w:r>
        <w:t xml:space="preserve">    </w:t>
      </w:r>
      <w:r>
        <w:rPr>
          <w:rFonts w:hint="eastAsia"/>
        </w:rPr>
        <w:t>如何套利是一門學問，在眾多種套利方法中，哪一個方法才是最適合的，而該方法到下一期是否能夠採用，是許多投資者所關切的問題。</w:t>
      </w:r>
      <w:r>
        <w:rPr>
          <w:color w:val="000000"/>
          <w:kern w:val="0"/>
        </w:rPr>
        <w:t>Haim Levy &amp; Ran Duchin (2010)</w:t>
      </w:r>
      <w:r>
        <w:rPr>
          <w:rFonts w:hint="eastAsia"/>
          <w:color w:val="000000"/>
          <w:kern w:val="0"/>
        </w:rPr>
        <w:t>的研究中，探討均值方差和等權重下對投資組合的多角化情況，</w:t>
      </w:r>
      <w:r w:rsidRPr="004315B7">
        <w:rPr>
          <w:kern w:val="0"/>
        </w:rPr>
        <w:t>Shuhong Fang(2006)</w:t>
      </w:r>
      <w:r>
        <w:rPr>
          <w:rFonts w:hint="eastAsia"/>
          <w:kern w:val="0"/>
        </w:rPr>
        <w:t>的研究中，討論均值方差分析下的套利，本研究將討論均值方差分析和等權重下的套利策略，以過去五年的歷史資料求得最適權數，並加入「反轉策略」（方曙紅、雷冰：《上海股市反轉效應存在性的檢驗與思考》），做為預估下一期收益的根據，我們將統計每一期</w:t>
      </w:r>
      <w:r>
        <w:rPr>
          <w:rStyle w:val="apple-style-span"/>
          <w:rFonts w:ascii="新細明體" w:hAnsi="新細明體" w:cs="Segoe UI" w:hint="eastAsia"/>
        </w:rPr>
        <w:t>實現的</w:t>
      </w:r>
      <w:r>
        <w:rPr>
          <w:rFonts w:hint="eastAsia"/>
          <w:kern w:val="0"/>
        </w:rPr>
        <w:t>收益，</w:t>
      </w:r>
      <w:r w:rsidRPr="004315B7">
        <w:rPr>
          <w:rStyle w:val="apple-style-span"/>
          <w:rFonts w:ascii="新細明體" w:hAnsi="新細明體" w:cs="Segoe UI" w:hint="eastAsia"/>
        </w:rPr>
        <w:t>分別比較</w:t>
      </w:r>
      <w:r>
        <w:rPr>
          <w:rStyle w:val="apple-style-span"/>
          <w:rFonts w:ascii="新細明體" w:hAnsi="新細明體" w:cs="Segoe UI" w:hint="eastAsia"/>
        </w:rPr>
        <w:t>與分析</w:t>
      </w:r>
      <w:r w:rsidRPr="004315B7">
        <w:rPr>
          <w:rStyle w:val="apple-style-span"/>
          <w:rFonts w:ascii="新細明體" w:hAnsi="新細明體" w:cs="Segoe UI" w:hint="eastAsia"/>
        </w:rPr>
        <w:t>兩者套利方法的效率。</w:t>
      </w:r>
    </w:p>
    <w:p w:rsidR="00F52258" w:rsidRPr="009D2D0D" w:rsidRDefault="00F52258" w:rsidP="00BA1C20">
      <w:pPr>
        <w:widowControl/>
        <w:rPr>
          <w:rStyle w:val="apple-style-span"/>
          <w:rFonts w:ascii="新細明體" w:cs="Arial"/>
          <w:sz w:val="28"/>
          <w:szCs w:val="28"/>
        </w:rPr>
      </w:pPr>
      <w:r w:rsidRPr="009D2D0D">
        <w:rPr>
          <w:rStyle w:val="apple-style-span"/>
          <w:rFonts w:ascii="新細明體" w:cs="Arial"/>
          <w:sz w:val="28"/>
          <w:szCs w:val="28"/>
        </w:rPr>
        <w:br w:type="page"/>
      </w:r>
    </w:p>
    <w:p w:rsidR="00F52258" w:rsidRPr="008C5A5A" w:rsidRDefault="00F52258" w:rsidP="00984049">
      <w:pPr>
        <w:pStyle w:val="Heading1"/>
        <w:numPr>
          <w:ilvl w:val="0"/>
          <w:numId w:val="2"/>
        </w:numPr>
        <w:jc w:val="center"/>
        <w:rPr>
          <w:rFonts w:ascii="新細明體"/>
          <w:b w:val="0"/>
          <w:sz w:val="32"/>
          <w:szCs w:val="32"/>
        </w:rPr>
      </w:pPr>
      <w:r w:rsidRPr="004315B7">
        <w:rPr>
          <w:rFonts w:ascii="新細明體" w:hAnsi="新細明體" w:hint="eastAsia"/>
          <w:b w:val="0"/>
          <w:sz w:val="32"/>
          <w:szCs w:val="32"/>
        </w:rPr>
        <w:t>研究方法</w:t>
      </w:r>
    </w:p>
    <w:p w:rsidR="00F52258" w:rsidRPr="008C5A5A" w:rsidRDefault="00F52258" w:rsidP="00984049">
      <w:pPr>
        <w:pStyle w:val="Heading2"/>
        <w:jc w:val="center"/>
        <w:rPr>
          <w:rFonts w:ascii="新細明體"/>
          <w:b w:val="0"/>
          <w:sz w:val="28"/>
          <w:szCs w:val="28"/>
        </w:rPr>
      </w:pPr>
      <w:r w:rsidRPr="004315B7">
        <w:rPr>
          <w:rFonts w:ascii="新細明體" w:hAnsi="新細明體" w:hint="eastAsia"/>
          <w:b w:val="0"/>
          <w:sz w:val="28"/>
          <w:szCs w:val="28"/>
        </w:rPr>
        <w:t>第一節</w:t>
      </w:r>
      <w:r w:rsidRPr="004315B7">
        <w:rPr>
          <w:rFonts w:ascii="新細明體" w:hAnsi="新細明體"/>
          <w:b w:val="0"/>
          <w:sz w:val="28"/>
          <w:szCs w:val="28"/>
        </w:rPr>
        <w:t xml:space="preserve"> </w:t>
      </w:r>
      <w:r w:rsidRPr="004315B7">
        <w:rPr>
          <w:rFonts w:ascii="新細明體" w:hAnsi="新細明體" w:hint="eastAsia"/>
          <w:b w:val="0"/>
          <w:sz w:val="28"/>
          <w:szCs w:val="28"/>
        </w:rPr>
        <w:t>研究模型</w:t>
      </w:r>
    </w:p>
    <w:p w:rsidR="00F52258" w:rsidRPr="008C5A5A" w:rsidRDefault="00F52258" w:rsidP="00F82A74">
      <w:pPr>
        <w:spacing w:line="360" w:lineRule="auto"/>
        <w:rPr>
          <w:rStyle w:val="apple-style-span"/>
          <w:rFonts w:ascii="新細明體" w:cs="Arial"/>
        </w:rPr>
      </w:pPr>
      <w:r>
        <w:rPr>
          <w:rStyle w:val="apple-style-span"/>
        </w:rPr>
        <w:t xml:space="preserve">    </w:t>
      </w:r>
      <w:r>
        <w:rPr>
          <w:rStyle w:val="apple-style-span"/>
          <w:rFonts w:hint="eastAsia"/>
        </w:rPr>
        <w:t>之前學者的研究結果顯示，在長期的時間區間內，股票收益呈現出負的自相關現象，從而採用「反轉策略」，</w:t>
      </w:r>
      <w:r w:rsidRPr="004315B7">
        <w:rPr>
          <w:rStyle w:val="ecxapple-style-span"/>
          <w:rFonts w:ascii="新細明體" w:hAnsi="新細明體" w:cs="Segoe UI" w:hint="eastAsia"/>
        </w:rPr>
        <w:t>即賣出「贏家組合」（過去的期望收益較高者），買入「輸家組合」（過去的期望收益較低者）</w:t>
      </w:r>
      <w:r>
        <w:rPr>
          <w:rStyle w:val="ecxapple-style-span"/>
          <w:rFonts w:ascii="新細明體" w:hAnsi="新細明體" w:cs="Segoe UI" w:hint="eastAsia"/>
        </w:rPr>
        <w:t>，則可以獲得超額收益。本研究是使用月資料，屬長期的時間區間，因此我們將反轉策略做為實驗前提加以探討。</w:t>
      </w:r>
    </w:p>
    <w:p w:rsidR="00F52258" w:rsidRPr="00F82A74" w:rsidRDefault="00F52258" w:rsidP="00D477FD">
      <w:pPr>
        <w:spacing w:line="360" w:lineRule="auto"/>
        <w:rPr>
          <w:rStyle w:val="apple-style-span"/>
          <w:rFonts w:ascii="新細明體" w:cs="Arial"/>
        </w:rPr>
      </w:pPr>
    </w:p>
    <w:p w:rsidR="00F52258" w:rsidRDefault="00F52258" w:rsidP="00D477FD">
      <w:pPr>
        <w:spacing w:line="360" w:lineRule="auto"/>
        <w:rPr>
          <w:rStyle w:val="apple-style-span"/>
        </w:rPr>
      </w:pPr>
      <w:r w:rsidRPr="004315B7">
        <w:rPr>
          <w:rStyle w:val="apple-style-span"/>
          <w:rFonts w:ascii="新細明體" w:hAnsi="新細明體" w:cs="Arial"/>
        </w:rPr>
        <w:t xml:space="preserve">2.1.1  </w:t>
      </w:r>
      <w:r>
        <w:rPr>
          <w:rStyle w:val="apple-style-span"/>
          <w:rFonts w:hint="eastAsia"/>
        </w:rPr>
        <w:t>等權重</w:t>
      </w:r>
    </w:p>
    <w:p w:rsidR="00F52258" w:rsidRPr="008C5A5A" w:rsidRDefault="00F52258" w:rsidP="000C325B">
      <w:pPr>
        <w:spacing w:line="360" w:lineRule="auto"/>
        <w:rPr>
          <w:rStyle w:val="apple-style-span"/>
          <w:rFonts w:ascii="新細明體" w:hAnsi="新細明體" w:cs="Arial"/>
        </w:rPr>
      </w:pPr>
      <w:r w:rsidRPr="004315B7">
        <w:rPr>
          <w:rStyle w:val="apple-style-span"/>
          <w:rFonts w:ascii="新細明體" w:hAnsi="新細明體" w:cs="Arial" w:hint="eastAsia"/>
        </w:rPr>
        <w:t>在</w:t>
      </w:r>
      <w:r w:rsidRPr="004315B7">
        <w:rPr>
          <w:rStyle w:val="apple-style-span"/>
          <w:rFonts w:ascii="新細明體" w:hAnsi="新細明體" w:cs="Arial"/>
        </w:rPr>
        <w:t>N</w:t>
      </w:r>
      <w:r w:rsidRPr="004315B7">
        <w:rPr>
          <w:rStyle w:val="apple-style-span"/>
          <w:rFonts w:ascii="新細明體" w:hAnsi="新細明體" w:cs="Arial" w:hint="eastAsia"/>
        </w:rPr>
        <w:t>種資產之下，投資人將此</w:t>
      </w:r>
      <w:r w:rsidRPr="004315B7">
        <w:rPr>
          <w:rStyle w:val="apple-style-span"/>
          <w:rFonts w:ascii="新細明體" w:hAnsi="新細明體" w:cs="Arial"/>
        </w:rPr>
        <w:t>N</w:t>
      </w:r>
      <w:r w:rsidRPr="004315B7">
        <w:rPr>
          <w:rStyle w:val="apple-style-span"/>
          <w:rFonts w:ascii="新細明體" w:hAnsi="新細明體" w:cs="Arial" w:hint="eastAsia"/>
        </w:rPr>
        <w:t>種資產的平均投資收益由低到高排列，即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4DBD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34DBD&quot;&gt;&lt;m:oMathPara&gt;&lt;m:oMath&gt;&lt;m:sSub&gt;&lt;m:sSubPr&gt;&lt;m:ctrlPr&gt;&lt;w:rPr&gt;&lt;w:rStyle w:val=&quot;apple-style-span&quot;/&gt;&lt;w:rFonts w:ascii=&quot;Cambria Math&quot; w:fareast=&quot;">
            <v:imagedata r:id="rId7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026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4DBD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34DBD&quot;&gt;&lt;m:oMathPara&gt;&lt;m:oMath&gt;&lt;m:sSub&gt;&lt;m:sSubPr&gt;&lt;m:ctrlPr&gt;&lt;w:rPr&gt;&lt;w:rStyle w:val=&quot;apple-style-span&quot;/&gt;&lt;w:rFonts w:ascii=&quot;Cambria Math&quot; w:fareast=&quot;">
            <v:imagedata r:id="rId7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/>
        </w:rPr>
        <w:t xml:space="preserve">, 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027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0F23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B0F23&quot;&gt;&lt;m:oMathPara&gt;&lt;m:oMath&gt;&lt;m:sSub&gt;&lt;m:sSubPr&gt;&lt;m:ctrlPr&gt;&lt;w:rPr&gt;&lt;w:rStyle w:val=&quot;apple-style-span&quot;/&gt;&lt;w:rFonts w:ascii=&quot;Cambria Math&quot; w:fareast=&quot;">
            <v:imagedata r:id="rId8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028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0F23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B0F23&quot;&gt;&lt;m:oMathPara&gt;&lt;m:oMath&gt;&lt;m:sSub&gt;&lt;m:sSubPr&gt;&lt;m:ctrlPr&gt;&lt;w:rPr&gt;&lt;w:rStyle w:val=&quot;apple-style-span&quot;/&gt;&lt;w:rFonts w:ascii=&quot;Cambria Math&quot; w:fareast=&quot;">
            <v:imagedata r:id="rId8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cs="Arial"/>
        </w:rPr>
        <w:t>,</w:t>
      </w:r>
      <w:r w:rsidRPr="004315B7">
        <w:rPr>
          <w:rStyle w:val="apple-style-span"/>
          <w:rFonts w:ascii="新細明體" w:cs="Arial" w:hint="eastAsia"/>
        </w:rPr>
        <w:t>…</w:t>
      </w:r>
      <w:r w:rsidRPr="004315B7">
        <w:rPr>
          <w:rStyle w:val="apple-style-span"/>
          <w:rFonts w:ascii="新細明體" w:cs="Arial"/>
        </w:rPr>
        <w:t>,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029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16E4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916E4&quot;&gt;&lt;m:oMathPara&gt;&lt;m:oMath&gt;&lt;m:sSub&gt;&lt;m:sSubPr&gt;&lt;m:ctrlPr&gt;&lt;w:rPr&gt;&lt;w:rStyle w:val=&quot;apple-style-span&quot;/&gt;&lt;w:rFonts w:ascii=&quot;Cambria Math&quot; w:fareast=&quot;">
            <v:imagedata r:id="rId9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030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16E4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916E4&quot;&gt;&lt;m:oMathPara&gt;&lt;m:oMath&gt;&lt;m:sSub&gt;&lt;m:sSubPr&gt;&lt;m:ctrlPr&gt;&lt;w:rPr&gt;&lt;w:rStyle w:val=&quot;apple-style-span&quot;/&gt;&lt;w:rFonts w:ascii=&quot;Cambria Math&quot; w:fareast=&quot;">
            <v:imagedata r:id="rId9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 w:hint="eastAsia"/>
        </w:rPr>
        <w:t>，做多前</w:t>
      </w:r>
      <w:r w:rsidRPr="004315B7">
        <w:rPr>
          <w:rStyle w:val="apple-style-span"/>
          <w:rFonts w:ascii="新細明體" w:hAnsi="新細明體" w:cs="Arial"/>
        </w:rPr>
        <w:t>n/2</w:t>
      </w:r>
      <w:r w:rsidRPr="004315B7">
        <w:rPr>
          <w:rStyle w:val="apple-style-span"/>
          <w:rFonts w:ascii="新細明體" w:hAnsi="新細明體" w:cs="Arial" w:hint="eastAsia"/>
        </w:rPr>
        <w:t>的資產並放空後</w:t>
      </w:r>
      <w:r w:rsidRPr="004315B7">
        <w:rPr>
          <w:rStyle w:val="apple-style-span"/>
          <w:rFonts w:ascii="新細明體" w:hAnsi="新細明體" w:cs="Arial"/>
        </w:rPr>
        <w:t>n/2</w:t>
      </w:r>
      <w:r w:rsidRPr="004315B7">
        <w:rPr>
          <w:rStyle w:val="apple-style-span"/>
          <w:rFonts w:ascii="新細明體" w:hAnsi="新細明體" w:cs="Arial" w:hint="eastAsia"/>
        </w:rPr>
        <w:t>的資產，並等權重做多及放空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31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379C7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379C7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32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379C7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379C7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33" type="#_x0000_t75" style="width:263.2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D4162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D4162&quot;&gt;&lt;m:oMathPara&gt;&lt;m:oMath&gt;&lt;m:f&gt;&lt;m:fPr&gt;&lt;m:ctrlPr&gt;&lt;w:rPr&gt;&lt;w:rStyle w:val=&quot;apple-style-span&quot;/&gt;&lt;w:rFonts w:ascii=&quot;Cambria Math&quot; w:fareast=&quot;">
            <v:imagedata r:id="rId11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34" type="#_x0000_t75" style="width:263.2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D4162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D4162&quot;&gt;&lt;m:oMathPara&gt;&lt;m:oMath&gt;&lt;m:f&gt;&lt;m:fPr&gt;&lt;m:ctrlPr&gt;&lt;w:rPr&gt;&lt;w:rStyle w:val=&quot;apple-style-span&quot;/&gt;&lt;w:rFonts w:ascii=&quot;Cambria Math&quot; w:fareast=&quot;">
            <v:imagedata r:id="rId11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4315B7">
        <w:rPr>
          <w:rStyle w:val="apple-style-span"/>
          <w:rFonts w:ascii="新細明體" w:hAnsi="新細明體" w:cs="Arial" w:hint="eastAsia"/>
        </w:rPr>
        <w:t>，此值為</w:t>
      </w:r>
      <w:r w:rsidRPr="004315B7">
        <w:rPr>
          <w:rStyle w:val="apple-style-span"/>
          <w:rFonts w:ascii="新細明體" w:hAnsi="新細明體" w:cs="Arial"/>
        </w:rPr>
        <w:t>r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035" type="#_x0000_t75" style="width:147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D7082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D7082&quot;&gt;&lt;m:oMathPara&gt;&lt;m:oMath&gt;&lt;m:r&gt;&lt;m:rPr&gt;&lt;m:sty m:val=&quot;p&quot;/&gt;&lt;/m:rPr&gt;&lt;w:rPr&gt;&lt;w:rStyle w:val=&quot;apple-style-span&quot;/&gt;&lt;w:rFonts w:ascii=&quot;Cambria Math&quot; w:fareast=&quot;">
            <v:imagedata r:id="rId12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036" type="#_x0000_t75" style="width:147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D7082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D7082&quot;&gt;&lt;m:oMathPara&gt;&lt;m:oMath&gt;&lt;m:r&gt;&lt;m:rPr&gt;&lt;m:sty m:val=&quot;p&quot;/&gt;&lt;/m:rPr&gt;&lt;w:rPr&gt;&lt;w:rStyle w:val=&quot;apple-style-span&quot;/&gt;&lt;w:rFonts w:ascii=&quot;Cambria Math&quot; w:fareast=&quot;">
            <v:imagedata r:id="rId12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/>
        </w:rPr>
        <w:t>+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037" type="#_x0000_t75" style="width:243.7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08A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0F08AB&quot;&gt;&lt;m:oMathPara&gt;&lt;m:oMath&gt;&lt;m:sSub&gt;&lt;m:sSubPr&gt;&lt;m:ctrlPr&gt;&lt;w:rPr&gt;&lt;w:rStyle w:val=&quot;apple-style-span&quot;/&gt;&lt;w:rFonts w:ascii=&quot;Cambria Math&quot; w:fareast=&quot;">
            <v:imagedata r:id="rId13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038" type="#_x0000_t75" style="width:243.7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08A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0F08AB&quot;&gt;&lt;m:oMathPara&gt;&lt;m:oMath&gt;&lt;m:sSub&gt;&lt;m:sSubPr&gt;&lt;m:ctrlPr&gt;&lt;w:rPr&gt;&lt;w:rStyle w:val=&quot;apple-style-span&quot;/&gt;&lt;w:rFonts w:ascii=&quot;Cambria Math&quot; w:fareast=&quot;">
            <v:imagedata r:id="rId13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 w:hint="eastAsia"/>
        </w:rPr>
        <w:t>（也將用於</w:t>
      </w:r>
      <w:r w:rsidRPr="004315B7">
        <w:rPr>
          <w:rStyle w:val="apple-style-span"/>
          <w:rFonts w:ascii="新細明體" w:hAnsi="新細明體" w:cs="Arial"/>
        </w:rPr>
        <w:t>mean-variance analysis</w:t>
      </w:r>
      <w:r w:rsidRPr="004315B7">
        <w:rPr>
          <w:rStyle w:val="apple-style-span"/>
          <w:rFonts w:ascii="新細明體" w:hAnsi="新細明體" w:cs="Arial" w:hint="eastAsia"/>
        </w:rPr>
        <w:t>的條件之一中）。</w:t>
      </w:r>
      <w:r w:rsidRPr="008C5A5A">
        <w:rPr>
          <w:rStyle w:val="apple-style-span"/>
          <w:rFonts w:ascii="新細明體" w:hAnsi="新細明體" w:cs="Arial"/>
        </w:rPr>
        <w:t xml:space="preserve"> </w:t>
      </w:r>
    </w:p>
    <w:p w:rsidR="00F52258" w:rsidRPr="00E44AC8" w:rsidRDefault="00F52258" w:rsidP="00E44AC8">
      <w:pPr>
        <w:pStyle w:val="ListParagraph"/>
        <w:numPr>
          <w:ilvl w:val="2"/>
          <w:numId w:val="9"/>
        </w:numPr>
        <w:spacing w:line="360" w:lineRule="auto"/>
        <w:ind w:leftChars="0"/>
        <w:rPr>
          <w:rStyle w:val="apple-style-span"/>
        </w:rPr>
      </w:pPr>
      <w:r>
        <w:rPr>
          <w:rStyle w:val="apple-style-span"/>
          <w:rFonts w:hint="eastAsia"/>
        </w:rPr>
        <w:t>均值方差分析</w:t>
      </w:r>
    </w:p>
    <w:p w:rsidR="00F52258" w:rsidRPr="008C5A5A" w:rsidRDefault="00F52258" w:rsidP="00D0700D">
      <w:pPr>
        <w:rPr>
          <w:rFonts w:ascii="新細明體"/>
        </w:rPr>
      </w:pPr>
      <w:r w:rsidRPr="004315B7">
        <w:rPr>
          <w:rFonts w:ascii="新細明體" w:hAnsi="新細明體" w:hint="eastAsia"/>
        </w:rPr>
        <w:t>對一個想要套利的風險規避者來說，在給定的期望收益下，他將讓風險達到最小，即變異數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39" type="#_x0000_t75" style="width:16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85B45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F85B45&quot;&gt;&lt;m:oMathPara&gt;&lt;m:oMath&gt;&lt;m:sSup&gt;&lt;m:sSupPr&gt;&lt;m:ctrlPr&gt;&lt;w:rPr&gt;&lt;w:rFonts w:ascii=&quot;Cambria Math&quot; w:fareast=&quot;">
            <v:imagedata r:id="rId14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40" type="#_x0000_t75" style="width:16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85B45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F85B45&quot;&gt;&lt;m:oMathPara&gt;&lt;m:oMath&gt;&lt;m:sSup&gt;&lt;m:sSupPr&gt;&lt;m:ctrlPr&gt;&lt;w:rPr&gt;&lt;w:rFonts w:ascii=&quot;Cambria Math&quot; w:fareast=&quot;">
            <v:imagedata r:id="rId14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達到最小，因此，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41" type="#_x0000_t75" style="width:117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705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B3705&quot;&gt;&lt;m:oMathPara&gt;&lt;m:oMath&gt;&lt;m:sSub&gt;&lt;m:sSubPr&gt;&lt;m:ctrlPr&gt;&lt;w:rPr&gt;&lt;w:rFonts w:ascii=&quot;Cambria Math&quot; w:fareast=&quot;">
            <v:imagedata r:id="rId15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42" type="#_x0000_t75" style="width:117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705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B3705&quot;&gt;&lt;m:oMathPara&gt;&lt;m:oMath&gt;&lt;m:sSub&gt;&lt;m:sSubPr&gt;&lt;m:ctrlPr&gt;&lt;w:rPr&gt;&lt;w:rFonts w:ascii=&quot;Cambria Math&quot; w:fareast=&quot;">
            <v:imagedata r:id="rId15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應為此前提下的最適解：</w:t>
      </w:r>
    </w:p>
    <w:p w:rsidR="00F52258" w:rsidRPr="008C5A5A" w:rsidRDefault="00F52258" w:rsidP="00BA4891">
      <w:pPr>
        <w:jc w:val="center"/>
        <w:rPr>
          <w:rFonts w:ascii="新細明體"/>
        </w:rPr>
      </w:pPr>
      <w:r w:rsidRPr="004315B7">
        <w:t>Min</w:t>
      </w:r>
      <w:r w:rsidRPr="004315B7">
        <w:rPr>
          <w:rFonts w:ascii="新細明體" w:hAnsi="新細明體"/>
        </w:rPr>
        <w:t xml:space="preserve">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43" type="#_x0000_t75" style="width:138.7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265F9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265F9&quot;&gt;&lt;m:oMathPara&gt;&lt;m:oMath&gt;&lt;m:sSup&gt;&lt;m:sSupPr&gt;&lt;m:ctrlPr&gt;&lt;w:rPr&gt;&lt;w:rFonts w:ascii=&quot;Cambria Math&quot; w:fareast=&quot;">
            <v:imagedata r:id="rId1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44" type="#_x0000_t75" style="width:138.7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265F9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265F9&quot;&gt;&lt;m:oMathPara&gt;&lt;m:oMath&gt;&lt;m:sSup&gt;&lt;m:sSupPr&gt;&lt;m:ctrlPr&gt;&lt;w:rPr&gt;&lt;w:rFonts w:ascii=&quot;Cambria Math&quot; w:fareast=&quot;">
            <v:imagedata r:id="rId16" o:title="" chromakey="white"/>
          </v:shape>
        </w:pict>
      </w:r>
      <w:r w:rsidRPr="00732CF9">
        <w:rPr>
          <w:rFonts w:ascii="新細明體" w:hAnsi="新細明體"/>
        </w:rPr>
        <w:fldChar w:fldCharType="end"/>
      </w:r>
    </w:p>
    <w:p w:rsidR="00F52258" w:rsidRPr="008C5A5A" w:rsidRDefault="00F52258" w:rsidP="00BA4891">
      <w:pPr>
        <w:rPr>
          <w:rFonts w:ascii="新細明體"/>
        </w:rPr>
      </w:pPr>
      <w:r w:rsidRPr="004315B7">
        <w:rPr>
          <w:rFonts w:ascii="新細明體" w:hAnsi="新細明體" w:hint="eastAsia"/>
        </w:rPr>
        <w:t>使得</w:t>
      </w:r>
    </w:p>
    <w:p w:rsidR="00F52258" w:rsidRPr="008C5A5A" w:rsidRDefault="00F52258" w:rsidP="00EA033B">
      <w:pPr>
        <w:jc w:val="center"/>
        <w:rPr>
          <w:rFonts w:ascii="新細明體"/>
        </w:rPr>
      </w:pPr>
      <w:r w:rsidRPr="004315B7">
        <w:rPr>
          <w:rFonts w:ascii="新細明體" w:hAnsi="新細明體"/>
        </w:rPr>
        <w:t>E[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45" type="#_x0000_t75" style="width:13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6850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76850&quot;&gt;&lt;m:oMathPara&gt;&lt;m:oMath&gt;&lt;m:sSub&gt;&lt;m:sSubPr&gt;&lt;m:ctrlPr&gt;&lt;w:rPr&gt;&lt;w:rFonts w:ascii=&quot;Cambria Math&quot; w:fareast=&quot;">
            <v:imagedata r:id="rId17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46" type="#_x0000_t75" style="width:13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6850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76850&quot;&gt;&lt;m:oMathPara&gt;&lt;m:oMath&gt;&lt;m:sSub&gt;&lt;m:sSubPr&gt;&lt;m:ctrlPr&gt;&lt;w:rPr&gt;&lt;w:rFonts w:ascii=&quot;Cambria Math&quot; w:fareast=&quot;">
            <v:imagedata r:id="rId17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] = r, 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47" type="#_x0000_t75" style="width:33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504FD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2504FD&quot;&gt;&lt;m:oMathPara&gt;&lt;m:oMath&gt;&lt;m:nary&gt;&lt;m:naryPr&gt;&lt;m:chr m:val=&quot;">
            <v:imagedata r:id="rId18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48" type="#_x0000_t75" style="width:33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504FD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2504FD&quot;&gt;&lt;m:oMathPara&gt;&lt;m:oMath&gt;&lt;m:nary&gt;&lt;m:naryPr&gt;&lt;m:chr m:val=&quot;">
            <v:imagedata r:id="rId18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= 0, 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49" type="#_x0000_t75" style="width:39.7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6F4A94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F4A94&quot;&gt;&lt;m:oMathPara&gt;&lt;m:oMath&gt;&lt;m:nary&gt;&lt;m:naryPr&gt;&lt;m:chr m:val=&quot;">
            <v:imagedata r:id="rId19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50" type="#_x0000_t75" style="width:39.7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6F4A94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F4A94&quot;&gt;&lt;m:oMathPara&gt;&lt;m:oMath&gt;&lt;m:nary&gt;&lt;m:naryPr&gt;&lt;m:chr m:val=&quot;">
            <v:imagedata r:id="rId19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= 2</w:t>
      </w:r>
    </w:p>
    <w:p w:rsidR="00F52258" w:rsidRPr="008C5A5A" w:rsidRDefault="00F52258" w:rsidP="00D60F16">
      <w:pPr>
        <w:spacing w:line="360" w:lineRule="auto"/>
        <w:rPr>
          <w:rFonts w:ascii="新細明體"/>
        </w:rPr>
      </w:pPr>
      <w:r w:rsidRPr="004315B7">
        <w:rPr>
          <w:rFonts w:ascii="新細明體" w:hAnsi="新細明體" w:hint="eastAsia"/>
        </w:rPr>
        <w:t>若以矩陣方式表示，即為找到一個向量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51" type="#_x0000_t75" style="width:48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85D05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085D05&quot;&gt;&lt;m:oMathPara&gt;&lt;m:oMath&gt;&lt;m:r&gt;&lt;m:rPr&gt;&lt;m:sty m:val=&quot;p&quot;/&gt;&lt;/m:rPr&gt;&lt;w:rPr&gt;&lt;w:rFonts w:ascii=&quot;Cambria Math&quot; w:fareast=&quot;">
            <v:imagedata r:id="rId2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52" type="#_x0000_t75" style="width:48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85D05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085D05&quot;&gt;&lt;m:oMathPara&gt;&lt;m:oMath&gt;&lt;m:r&gt;&lt;m:rPr&gt;&lt;m:sty m:val=&quot;p&quot;/&gt;&lt;/m:rPr&gt;&lt;w:rPr&gt;&lt;w:rFonts w:ascii=&quot;Cambria Math&quot; w:fareast=&quot;">
            <v:imagedata r:id="rId2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滿足</w:t>
      </w:r>
    </w:p>
    <w:p w:rsidR="00F52258" w:rsidRPr="008C5A5A" w:rsidRDefault="00F52258" w:rsidP="00C4746D">
      <w:pPr>
        <w:spacing w:line="360" w:lineRule="auto"/>
        <w:jc w:val="center"/>
        <w:rPr>
          <w:rFonts w:ascii="新細明體"/>
        </w:rPr>
      </w:pPr>
      <w:r w:rsidRPr="004315B7">
        <w:t>Min</w:t>
      </w:r>
      <w:r w:rsidRPr="004315B7">
        <w:rPr>
          <w:rFonts w:ascii="新細明體" w:hAnsi="新細明體"/>
        </w:rPr>
        <w:t xml:space="preserve">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53" type="#_x0000_t75" style="width:33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32564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32564&quot;&gt;&lt;m:oMathPara&gt;&lt;m:oMath&gt;&lt;m:sSup&gt;&lt;m:sSupPr&gt;&lt;m:ctrlPr&gt;&lt;w:rPr&gt;&lt;w:rFonts w:ascii=&quot;Cambria Math&quot; w:fareast=&quot;">
            <v:imagedata r:id="rId21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54" type="#_x0000_t75" style="width:33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32564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32564&quot;&gt;&lt;m:oMathPara&gt;&lt;m:oMath&gt;&lt;m:sSup&gt;&lt;m:sSupPr&gt;&lt;m:ctrlPr&gt;&lt;w:rPr&gt;&lt;w:rFonts w:ascii=&quot;Cambria Math&quot; w:fareast=&quot;">
            <v:imagedata r:id="rId21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</w:t>
      </w:r>
      <w:r w:rsidRPr="004315B7">
        <w:rPr>
          <w:rFonts w:ascii="新細明體" w:hAnsi="新細明體"/>
          <w:b/>
        </w:rPr>
        <w:t>w</w:t>
      </w:r>
      <w:r w:rsidRPr="004315B7">
        <w:rPr>
          <w:rFonts w:ascii="新細明體" w:hAnsi="新細明體"/>
          <w:b/>
          <w:i/>
        </w:rPr>
        <w:t>V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55" type="#_x0000_t75" style="width:25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160A6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160A6&quot;&gt;&lt;m:oMathPara&gt;&lt;m:oMath&gt;&lt;m:sSup&gt;&lt;m:sSupPr&gt;&lt;m:ctrlPr&gt;&lt;w:rPr&gt;&lt;w:rFonts w:ascii=&quot;Cambria Math&quot; w:fareast=&quot;">
            <v:imagedata r:id="rId22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56" type="#_x0000_t75" style="width:25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160A6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160A6&quot;&gt;&lt;m:oMathPara&gt;&lt;m:oMath&gt;&lt;m:sSup&gt;&lt;m:sSupPr&gt;&lt;m:ctrlPr&gt;&lt;w:rPr&gt;&lt;w:rFonts w:ascii=&quot;Cambria Math&quot; w:fareast=&quot;">
            <v:imagedata r:id="rId22" o:title="" chromakey="white"/>
          </v:shape>
        </w:pict>
      </w:r>
      <w:r w:rsidRPr="00732CF9">
        <w:rPr>
          <w:rFonts w:ascii="新細明體" w:hAnsi="新細明體"/>
        </w:rPr>
        <w:fldChar w:fldCharType="end"/>
      </w:r>
    </w:p>
    <w:p w:rsidR="00F52258" w:rsidRPr="008C5A5A" w:rsidRDefault="00F52258" w:rsidP="00D60F16">
      <w:pPr>
        <w:spacing w:line="360" w:lineRule="auto"/>
        <w:rPr>
          <w:rFonts w:ascii="新細明體"/>
        </w:rPr>
      </w:pPr>
      <w:r w:rsidRPr="004315B7">
        <w:rPr>
          <w:rFonts w:ascii="新細明體" w:hAnsi="新細明體" w:hint="eastAsia"/>
        </w:rPr>
        <w:t>使得</w:t>
      </w:r>
    </w:p>
    <w:p w:rsidR="00F52258" w:rsidRPr="008C5A5A" w:rsidRDefault="00F52258" w:rsidP="00C4746D">
      <w:pPr>
        <w:spacing w:line="360" w:lineRule="auto"/>
        <w:jc w:val="center"/>
        <w:rPr>
          <w:rFonts w:ascii="新細明體"/>
        </w:rPr>
      </w:pPr>
      <w:r w:rsidRPr="004315B7">
        <w:rPr>
          <w:rFonts w:ascii="新細明體" w:hAnsi="新細明體"/>
          <w:b/>
        </w:rPr>
        <w:t>w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57" type="#_x0000_t75" style="width:1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0B4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240B42&quot;&gt;&lt;m:oMathPara&gt;&lt;m:oMath&gt;&lt;m:sSup&gt;&lt;m:sSupPr&gt;&lt;m:ctrlPr&gt;&lt;w:rPr&gt;&lt;w:rFonts w:ascii=&quot;Cambria Math&quot; w:fareast=&quot;">
            <v:imagedata r:id="rId23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58" type="#_x0000_t75" style="width:1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0B4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240B42&quot;&gt;&lt;m:oMathPara&gt;&lt;m:oMath&gt;&lt;m:sSup&gt;&lt;m:sSupPr&gt;&lt;m:ctrlPr&gt;&lt;w:rPr&gt;&lt;w:rFonts w:ascii=&quot;Cambria Math&quot; w:fareast=&quot;">
            <v:imagedata r:id="rId23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= r,  </w:t>
      </w:r>
      <w:r w:rsidRPr="004315B7">
        <w:rPr>
          <w:rFonts w:ascii="新細明體" w:hAnsi="新細明體"/>
          <w:b/>
        </w:rPr>
        <w:t>w</w:t>
      </w:r>
      <w:r w:rsidRPr="00732CF9">
        <w:rPr>
          <w:rFonts w:ascii="新細明體" w:hAnsi="新細明體"/>
          <w:b/>
        </w:rPr>
        <w:fldChar w:fldCharType="begin"/>
      </w:r>
      <w:r w:rsidRPr="00732CF9">
        <w:rPr>
          <w:rFonts w:ascii="新細明體" w:hAnsi="新細明體"/>
          <w:b/>
        </w:rPr>
        <w:instrText xml:space="preserve"> QUOTE </w:instrText>
      </w:r>
      <w:r w:rsidRPr="00732CF9">
        <w:pict>
          <v:shape id="_x0000_i1059" type="#_x0000_t75" style="width:15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939FD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939FD&quot;&gt;&lt;m:oMathPara&gt;&lt;m:oMath&gt;&lt;m:sSup&gt;&lt;m:sSupPr&gt;&lt;m:ctrlPr&gt;&lt;w:rPr&gt;&lt;w:rFonts w:ascii=&quot;Cambria Math&quot; w:fareast=&quot;">
            <v:imagedata r:id="rId24" o:title="" chromakey="white"/>
          </v:shape>
        </w:pict>
      </w:r>
      <w:r w:rsidRPr="00732CF9">
        <w:rPr>
          <w:rFonts w:ascii="新細明體" w:hAnsi="新細明體"/>
          <w:b/>
        </w:rPr>
        <w:instrText xml:space="preserve"> </w:instrText>
      </w:r>
      <w:r w:rsidRPr="00732CF9">
        <w:rPr>
          <w:rFonts w:ascii="新細明體" w:hAnsi="新細明體"/>
          <w:b/>
        </w:rPr>
        <w:fldChar w:fldCharType="separate"/>
      </w:r>
      <w:r w:rsidRPr="00732CF9">
        <w:pict>
          <v:shape id="_x0000_i1060" type="#_x0000_t75" style="width:15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939FD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939FD&quot;&gt;&lt;m:oMathPara&gt;&lt;m:oMath&gt;&lt;m:sSup&gt;&lt;m:sSupPr&gt;&lt;m:ctrlPr&gt;&lt;w:rPr&gt;&lt;w:rFonts w:ascii=&quot;Cambria Math&quot; w:fareast=&quot;">
            <v:imagedata r:id="rId24" o:title="" chromakey="white"/>
          </v:shape>
        </w:pict>
      </w:r>
      <w:r w:rsidRPr="00732CF9">
        <w:rPr>
          <w:rFonts w:ascii="新細明體" w:hAnsi="新細明體"/>
          <w:b/>
        </w:rPr>
        <w:fldChar w:fldCharType="end"/>
      </w:r>
      <w:r w:rsidRPr="004315B7">
        <w:rPr>
          <w:rFonts w:ascii="新細明體" w:hAnsi="新細明體"/>
          <w:b/>
        </w:rPr>
        <w:t xml:space="preserve"> </w:t>
      </w:r>
      <w:r w:rsidRPr="004315B7">
        <w:rPr>
          <w:rFonts w:ascii="新細明體" w:hAnsi="新細明體"/>
        </w:rPr>
        <w:t xml:space="preserve">= 0, 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61" type="#_x0000_t75" style="width:40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366C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F366C&quot;&gt;&lt;m:oMathPara&gt;&lt;m:oMath&gt;&lt;m:d&gt;&lt;m:dPr&gt;&lt;m:begChr m:val=&quot;|&quot;/&gt;&lt;m:endChr m:val=&quot;|&quot;/&gt;&lt;m:ctrlPr&gt;&lt;w:rPr&gt;&lt;w:rFonts w:ascii=&quot;Cambria Math&quot; w:fareast=&quot;">
            <v:imagedata r:id="rId25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62" type="#_x0000_t75" style="width:40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366C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F366C&quot;&gt;&lt;m:oMathPara&gt;&lt;m:oMath&gt;&lt;m:d&gt;&lt;m:dPr&gt;&lt;m:begChr m:val=&quot;|&quot;/&gt;&lt;m:endChr m:val=&quot;|&quot;/&gt;&lt;m:ctrlPr&gt;&lt;w:rPr&gt;&lt;w:rFonts w:ascii=&quot;Cambria Math&quot; w:fareast=&quot;">
            <v:imagedata r:id="rId25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 2</w:t>
      </w:r>
    </w:p>
    <w:p w:rsidR="00F52258" w:rsidRDefault="00F52258" w:rsidP="002751B2">
      <w:pPr>
        <w:spacing w:line="360" w:lineRule="auto"/>
        <w:rPr>
          <w:rFonts w:ascii="新細明體"/>
        </w:rPr>
      </w:pPr>
      <w:r w:rsidRPr="004315B7">
        <w:rPr>
          <w:rFonts w:ascii="新細明體" w:hAnsi="新細明體" w:hint="eastAsia"/>
        </w:rPr>
        <w:t>其中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63" type="#_x0000_t75" style="width:1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01DD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B701DD&quot;&gt;&lt;m:oMathPara&gt;&lt;m:oMath&gt;&lt;m:r&gt;&lt;m:rPr&gt;&lt;m:sty m:val=&quot;p&quot;/&gt;&lt;/m:rPr&gt;&lt;w:rPr&gt;&lt;w:rFonts w:ascii=&quot;Cambria Math&quot; w:fareast=&quot;">
            <v:imagedata r:id="rId2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64" type="#_x0000_t75" style="width:1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01DD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B701DD&quot;&gt;&lt;m:oMathPara&gt;&lt;m:oMath&gt;&lt;m:r&gt;&lt;m:rPr&gt;&lt;m:sty m:val=&quot;p&quot;/&gt;&lt;/m:rPr&gt;&lt;w:rPr&gt;&lt;w:rFonts w:ascii=&quot;Cambria Math&quot; w:fareast=&quot;">
            <v:imagedata r:id="rId26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= (E[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65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17E1A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17E1A&quot;&gt;&lt;m:oMathPara&gt;&lt;m:oMath&gt;&lt;m:sSub&gt;&lt;m:sSubPr&gt;&lt;m:ctrlPr&gt;&lt;w:rPr&gt;&lt;w:rFonts w:ascii=&quot;Cambria Math&quot; w:fareast=&quot;">
            <v:imagedata r:id="rId27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66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17E1A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17E1A&quot;&gt;&lt;m:oMathPara&gt;&lt;m:oMath&gt;&lt;m:sSub&gt;&lt;m:sSubPr&gt;&lt;m:ctrlPr&gt;&lt;w:rPr&gt;&lt;w:rFonts w:ascii=&quot;Cambria Math&quot; w:fareast=&quot;">
            <v:imagedata r:id="rId27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], E[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67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C717A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BC717A&quot;&gt;&lt;m:oMathPara&gt;&lt;m:oMath&gt;&lt;m:sSub&gt;&lt;m:sSubPr&gt;&lt;m:ctrlPr&gt;&lt;w:rPr&gt;&lt;w:rFonts w:ascii=&quot;Cambria Math&quot; w:fareast=&quot;">
            <v:imagedata r:id="rId28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68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C717A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BC717A&quot;&gt;&lt;m:oMathPara&gt;&lt;m:oMath&gt;&lt;m:sSub&gt;&lt;m:sSubPr&gt;&lt;m:ctrlPr&gt;&lt;w:rPr&gt;&lt;w:rFonts w:ascii=&quot;Cambria Math&quot; w:fareast=&quot;">
            <v:imagedata r:id="rId28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], ... ,E[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69" type="#_x0000_t75" style="width:13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01344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01344&quot;&gt;&lt;m:oMathPara&gt;&lt;m:oMath&gt;&lt;m:sSub&gt;&lt;m:sSubPr&gt;&lt;m:ctrlPr&gt;&lt;w:rPr&gt;&lt;w:rFonts w:ascii=&quot;Cambria Math&quot; w:fareast=&quot;">
            <v:imagedata r:id="rId17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70" type="#_x0000_t75" style="width:13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01344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01344&quot;&gt;&lt;m:oMathPara&gt;&lt;m:oMath&gt;&lt;m:sSub&gt;&lt;m:sSubPr&gt;&lt;m:ctrlPr&gt;&lt;w:rPr&gt;&lt;w:rFonts w:ascii=&quot;Cambria Math&quot; w:fareast=&quot;">
            <v:imagedata r:id="rId17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])</w:t>
      </w:r>
      <w:r w:rsidRPr="004315B7">
        <w:rPr>
          <w:rFonts w:ascii="新細明體" w:hAnsi="新細明體" w:hint="eastAsia"/>
        </w:rPr>
        <w:t>，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71" type="#_x0000_t75" style="width:25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25BBC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25BBC&quot;&gt;&lt;m:oMathPara&gt;&lt;m:oMath&gt;&lt;m:sSup&gt;&lt;m:sSupPr&gt;&lt;m:ctrlPr&gt;&lt;w:rPr&gt;&lt;w:rFonts w:ascii=&quot;Cambria Math&quot; w:fareast=&quot;">
            <v:imagedata r:id="rId22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72" type="#_x0000_t75" style="width:25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25BBC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25BBC&quot;&gt;&lt;m:oMathPara&gt;&lt;m:oMath&gt;&lt;m:sSup&gt;&lt;m:sSupPr&gt;&lt;m:ctrlPr&gt;&lt;w:rPr&gt;&lt;w:rFonts w:ascii=&quot;Cambria Math&quot; w:fareast=&quot;">
            <v:imagedata r:id="rId22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為</w:t>
      </w:r>
      <w:r w:rsidRPr="004315B7">
        <w:rPr>
          <w:rFonts w:ascii="新細明體" w:hAnsi="新細明體"/>
          <w:b/>
        </w:rPr>
        <w:t>w</w:t>
      </w:r>
      <w:r w:rsidRPr="004315B7">
        <w:rPr>
          <w:rFonts w:ascii="新細明體" w:hAnsi="新細明體" w:hint="eastAsia"/>
        </w:rPr>
        <w:t>的轉置矩陣，</w:t>
      </w:r>
      <w:r w:rsidRPr="004315B7">
        <w:rPr>
          <w:b/>
          <w:i/>
        </w:rPr>
        <w:t>V</w:t>
      </w:r>
      <w:r w:rsidRPr="004315B7">
        <w:rPr>
          <w:rFonts w:ascii="新細明體" w:hAnsi="新細明體" w:hint="eastAsia"/>
        </w:rPr>
        <w:t>為市場資產收益的共變數共異數矩陣，且為</w:t>
      </w:r>
      <w:r w:rsidRPr="004315B7">
        <w:t>NxN</w:t>
      </w:r>
      <w:r w:rsidRPr="004315B7">
        <w:rPr>
          <w:rFonts w:ascii="新細明體" w:hAnsi="新細明體" w:hint="eastAsia"/>
        </w:rPr>
        <w:t>的矩陣，即</w:t>
      </w:r>
      <w:r w:rsidRPr="004315B7">
        <w:rPr>
          <w:b/>
          <w:i/>
        </w:rPr>
        <w:t>V</w:t>
      </w:r>
      <w:r w:rsidRPr="004315B7">
        <w:t xml:space="preserve"> </w:t>
      </w:r>
      <w:r w:rsidRPr="004315B7">
        <w:rPr>
          <w:rFonts w:ascii="新細明體" w:hAnsi="新細明體"/>
        </w:rPr>
        <w:t>= (cov(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73" type="#_x0000_t75" style="width:10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47054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47054&quot;&gt;&lt;m:oMathPara&gt;&lt;m:oMath&gt;&lt;m:sSub&gt;&lt;m:sSubPr&gt;&lt;m:ctrlPr&gt;&lt;w:rPr&gt;&lt;w:rFonts w:ascii=&quot;Cambria Math&quot; w:fareast=&quot;">
            <v:imagedata r:id="rId29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74" type="#_x0000_t75" style="width:10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47054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47054&quot;&gt;&lt;m:oMathPara&gt;&lt;m:oMath&gt;&lt;m:sSub&gt;&lt;m:sSubPr&gt;&lt;m:ctrlPr&gt;&lt;w:rPr&gt;&lt;w:rFonts w:ascii=&quot;Cambria Math&quot; w:fareast=&quot;">
            <v:imagedata r:id="rId29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/>
        </w:rPr>
        <w:t>,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75" type="#_x0000_t75" style="width:10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744DF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744DF&quot;&gt;&lt;m:oMathPara&gt;&lt;m:oMath&gt;&lt;m:sSub&gt;&lt;m:sSubPr&gt;&lt;m:ctrlPr&gt;&lt;w:rPr&gt;&lt;w:rFonts w:ascii=&quot;Cambria Math&quot; w:fareast=&quot;">
            <v:imagedata r:id="rId3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76" type="#_x0000_t75" style="width:10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744DF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744DF&quot;&gt;&lt;m:oMathPara&gt;&lt;m:oMath&gt;&lt;m:sSub&gt;&lt;m:sSubPr&gt;&lt;m:ctrlPr&gt;&lt;w:rPr&gt;&lt;w:rFonts w:ascii=&quot;Cambria Math&quot; w:fareast=&quot;">
            <v:imagedata r:id="rId3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77" type="#_x0000_t75" style="width:33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2346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23467&quot;&gt;&lt;m:oMathPara&gt;&lt;m:oMath&gt;&lt;m:sSub&gt;&lt;m:sSubPr&gt;&lt;m:ctrlPr&gt;&lt;w:rPr&gt;&lt;w:rFonts w:ascii=&quot;Cambria Math&quot; w:fareast=&quot;">
            <v:imagedata r:id="rId31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78" type="#_x0000_t75" style="width:33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2346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23467&quot;&gt;&lt;m:oMathPara&gt;&lt;m:oMath&gt;&lt;m:sSub&gt;&lt;m:sSubPr&gt;&lt;m:ctrlPr&gt;&lt;w:rPr&gt;&lt;w:rFonts w:ascii=&quot;Cambria Math&quot; w:fareast=&quot;">
            <v:imagedata r:id="rId31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。</w:t>
      </w:r>
      <w:r>
        <w:rPr>
          <w:rFonts w:ascii="新細明體" w:hAnsi="新細明體" w:hint="eastAsia"/>
        </w:rPr>
        <w:t>而</w:t>
      </w:r>
      <w:r w:rsidRPr="004315B7">
        <w:rPr>
          <w:rFonts w:ascii="新細明體" w:hAnsi="新細明體" w:hint="eastAsia"/>
        </w:rPr>
        <w:t>最適投資組合</w:t>
      </w:r>
      <w:r>
        <w:rPr>
          <w:rFonts w:ascii="新細明體" w:hAnsi="新細明體" w:hint="eastAsia"/>
        </w:rPr>
        <w:t>為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79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629A8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629A8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80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629A8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629A8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81" type="#_x0000_t75" style="width:210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1F69C2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F69C2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-&lt;/m:t&gt;&lt;/m:r&gt;&lt;m:sSub&gt;&lt;m:sSubPr&gt;&lt;m:ctrlPr&gt;&lt;w:rPr&gt;&lt;w:rFonts w:ascii=&quot;Cambria Math&quot; w:fareast=&quot;">
            <v:imagedata r:id="rId32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82" type="#_x0000_t75" style="width:210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1F69C2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F69C2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-&lt;/m:t&gt;&lt;/m:r&gt;&lt;m:sSub&gt;&lt;m:sSubPr&gt;&lt;m:ctrlPr&gt;&lt;w:rPr&gt;&lt;w:rFonts w:ascii=&quot;Cambria Math&quot; w:fareast=&quot;">
            <v:imagedata r:id="rId32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083" type="#_x0000_t75" style="width:41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C7E9B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C7E9B&quot;&gt;&lt;m:oMathPara&gt;&lt;m:oMath&gt;&lt;m:r&gt;&lt;m:rPr&gt;&lt;m:sty m:val=&quot;p&quot;/&gt;&lt;/m:rPr&gt;&lt;w:rPr&gt;&lt;w:rFonts w:ascii=&quot;Cambria Math&quot; w:fareast=&quot;">
            <v:imagedata r:id="rId33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084" type="#_x0000_t75" style="width:41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C7E9B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C7E9B&quot;&gt;&lt;m:oMathPara&gt;&lt;m:oMath&gt;&lt;m:r&gt;&lt;m:rPr&gt;&lt;m:sty m:val=&quot;p&quot;/&gt;&lt;/m:rPr&gt;&lt;w:rPr&gt;&lt;w:rFonts w:ascii=&quot;Cambria Math&quot; w:fareast=&quot;">
            <v:imagedata r:id="rId33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>
        <w:rPr>
          <w:rFonts w:ascii="新細明體" w:hAnsi="新細明體" w:hint="eastAsia"/>
        </w:rPr>
        <w:t>（反轉策略）。</w:t>
      </w:r>
    </w:p>
    <w:p w:rsidR="00F52258" w:rsidRPr="00D80287" w:rsidRDefault="00F52258" w:rsidP="002751B2">
      <w:pPr>
        <w:spacing w:line="360" w:lineRule="auto"/>
        <w:rPr>
          <w:rFonts w:ascii="新細明體"/>
        </w:rPr>
      </w:pPr>
    </w:p>
    <w:p w:rsidR="00F52258" w:rsidRPr="008C5A5A" w:rsidRDefault="00F52258" w:rsidP="00CC3A90">
      <w:pPr>
        <w:pStyle w:val="Heading2"/>
        <w:jc w:val="center"/>
        <w:rPr>
          <w:rFonts w:ascii="新細明體"/>
          <w:b w:val="0"/>
          <w:position w:val="-30"/>
          <w:sz w:val="28"/>
          <w:szCs w:val="28"/>
        </w:rPr>
      </w:pPr>
      <w:r w:rsidRPr="004315B7">
        <w:rPr>
          <w:rFonts w:ascii="新細明體" w:hAnsi="新細明體" w:hint="eastAsia"/>
          <w:b w:val="0"/>
          <w:position w:val="-30"/>
          <w:sz w:val="28"/>
          <w:szCs w:val="28"/>
        </w:rPr>
        <w:t>第二節　實證模型</w:t>
      </w:r>
    </w:p>
    <w:p w:rsidR="00F52258" w:rsidRPr="00E44AC8" w:rsidRDefault="00F52258" w:rsidP="00E44AC8">
      <w:pPr>
        <w:spacing w:line="360" w:lineRule="auto"/>
        <w:rPr>
          <w:rStyle w:val="apple-style-span"/>
        </w:rPr>
      </w:pPr>
      <w:r w:rsidRPr="004315B7">
        <w:rPr>
          <w:rStyle w:val="apple-style-span"/>
        </w:rPr>
        <w:t xml:space="preserve">2.2.1  </w:t>
      </w:r>
      <w:r>
        <w:rPr>
          <w:rStyle w:val="apple-style-span"/>
          <w:rFonts w:hint="eastAsia"/>
        </w:rPr>
        <w:t>等權重</w:t>
      </w:r>
    </w:p>
    <w:p w:rsidR="00F52258" w:rsidRPr="008C5A5A" w:rsidRDefault="00F52258" w:rsidP="008C5A5A">
      <w:pPr>
        <w:spacing w:line="360" w:lineRule="auto"/>
        <w:rPr>
          <w:rFonts w:ascii="Segoe UI" w:hAnsi="Segoe UI" w:cs="Segoe UI"/>
        </w:rPr>
      </w:pPr>
      <w:r w:rsidRPr="004315B7">
        <w:rPr>
          <w:rStyle w:val="apple-style-span"/>
          <w:rFonts w:ascii="新細明體" w:hAnsi="新細明體" w:cs="Arial" w:hint="eastAsia"/>
        </w:rPr>
        <w:t>本研究</w:t>
      </w:r>
      <w:r w:rsidRPr="004315B7">
        <w:rPr>
          <w:rFonts w:ascii="新細明體" w:hAnsi="新細明體" w:hint="eastAsia"/>
        </w:rPr>
        <w:t>由前五年的資料（共</w:t>
      </w:r>
      <w:r w:rsidRPr="004315B7">
        <w:rPr>
          <w:rFonts w:ascii="新細明體" w:hAnsi="新細明體"/>
        </w:rPr>
        <w:t>60</w:t>
      </w:r>
      <w:r w:rsidRPr="004315B7">
        <w:rPr>
          <w:rFonts w:ascii="新細明體" w:hAnsi="新細明體" w:hint="eastAsia"/>
        </w:rPr>
        <w:t>筆</w:t>
      </w:r>
      <w:r>
        <w:rPr>
          <w:rFonts w:ascii="新細明體" w:hAnsi="新細明體" w:hint="eastAsia"/>
        </w:rPr>
        <w:t>數據</w:t>
      </w:r>
      <w:r w:rsidRPr="004315B7">
        <w:rPr>
          <w:rFonts w:ascii="新細明體" w:hAnsi="新細明體" w:hint="eastAsia"/>
        </w:rPr>
        <w:t>），分別算出四種資產的</w:t>
      </w:r>
      <w:r>
        <w:rPr>
          <w:rStyle w:val="apple-style-span"/>
          <w:rFonts w:ascii="新細明體" w:hAnsi="新細明體" w:cs="Arial" w:hint="eastAsia"/>
        </w:rPr>
        <w:t>平均投資收益，並由低到高</w:t>
      </w:r>
      <w:r w:rsidRPr="004315B7">
        <w:rPr>
          <w:rStyle w:val="apple-style-span"/>
          <w:rFonts w:ascii="新細明體" w:hAnsi="新細明體" w:cs="Arial" w:hint="eastAsia"/>
        </w:rPr>
        <w:t>排列，即</w:t>
      </w:r>
      <w:r w:rsidRPr="00732CF9">
        <w:rPr>
          <w:rStyle w:val="apple-style-span"/>
        </w:rPr>
        <w:fldChar w:fldCharType="begin"/>
      </w:r>
      <w:r w:rsidRPr="00732CF9">
        <w:rPr>
          <w:rStyle w:val="apple-style-span"/>
        </w:rPr>
        <w:instrText xml:space="preserve"> QUOTE </w:instrText>
      </w:r>
      <w:r w:rsidRPr="00732CF9">
        <w:pict>
          <v:shape id="_x0000_i1085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61C5F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61C5F&quot;&gt;&lt;m:oMathPara&gt;&lt;m:oMath&gt;&lt;m:sSub&gt;&lt;m:sSubPr&gt;&lt;m:ctrlPr&gt;&lt;w:rPr&gt;&lt;w:rStyle w:val=&quot;apple-style-span&quot;/&gt;&lt;w:rFonts w:ascii=&quot;Cambria Math&quot; w:fareast=&quot;">
            <v:imagedata r:id="rId7" o:title="" chromakey="white"/>
          </v:shape>
        </w:pict>
      </w:r>
      <w:r w:rsidRPr="00732CF9">
        <w:rPr>
          <w:rStyle w:val="apple-style-span"/>
        </w:rPr>
        <w:instrText xml:space="preserve"> </w:instrText>
      </w:r>
      <w:r w:rsidRPr="00732CF9">
        <w:rPr>
          <w:rStyle w:val="apple-style-span"/>
        </w:rPr>
        <w:fldChar w:fldCharType="separate"/>
      </w:r>
      <w:r w:rsidRPr="00732CF9">
        <w:pict>
          <v:shape id="_x0000_i1086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61C5F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61C5F&quot;&gt;&lt;m:oMathPara&gt;&lt;m:oMath&gt;&lt;m:sSub&gt;&lt;m:sSubPr&gt;&lt;m:ctrlPr&gt;&lt;w:rPr&gt;&lt;w:rStyle w:val=&quot;apple-style-span&quot;/&gt;&lt;w:rFonts w:ascii=&quot;Cambria Math&quot; w:fareast=&quot;">
            <v:imagedata r:id="rId7" o:title="" chromakey="white"/>
          </v:shape>
        </w:pict>
      </w:r>
      <w:r w:rsidRPr="00732CF9">
        <w:rPr>
          <w:rStyle w:val="apple-style-span"/>
        </w:rPr>
        <w:fldChar w:fldCharType="end"/>
      </w:r>
      <w:r w:rsidRPr="004315B7">
        <w:rPr>
          <w:rStyle w:val="apple-style-span"/>
        </w:rPr>
        <w:t>,</w:t>
      </w:r>
      <w:r w:rsidRPr="00732CF9">
        <w:rPr>
          <w:rStyle w:val="apple-style-span"/>
        </w:rPr>
        <w:fldChar w:fldCharType="begin"/>
      </w:r>
      <w:r w:rsidRPr="00732CF9">
        <w:rPr>
          <w:rStyle w:val="apple-style-span"/>
        </w:rPr>
        <w:instrText xml:space="preserve"> QUOTE </w:instrText>
      </w:r>
      <w:r w:rsidRPr="00732CF9">
        <w:pict>
          <v:shape id="_x0000_i1087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41D5A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41D5A&quot;&gt;&lt;m:oMathPara&gt;&lt;m:oMath&gt;&lt;m:sSub&gt;&lt;m:sSubPr&gt;&lt;m:ctrlPr&gt;&lt;w:rPr&gt;&lt;w:rStyle w:val=&quot;apple-style-span&quot;/&gt;&lt;w:rFonts w:ascii=&quot;Cambria Math&quot; w:fareast=&quot;">
            <v:imagedata r:id="rId8" o:title="" chromakey="white"/>
          </v:shape>
        </w:pict>
      </w:r>
      <w:r w:rsidRPr="00732CF9">
        <w:rPr>
          <w:rStyle w:val="apple-style-span"/>
        </w:rPr>
        <w:instrText xml:space="preserve"> </w:instrText>
      </w:r>
      <w:r w:rsidRPr="00732CF9">
        <w:rPr>
          <w:rStyle w:val="apple-style-span"/>
        </w:rPr>
        <w:fldChar w:fldCharType="separate"/>
      </w:r>
      <w:r w:rsidRPr="00732CF9">
        <w:pict>
          <v:shape id="_x0000_i1088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41D5A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41D5A&quot;&gt;&lt;m:oMathPara&gt;&lt;m:oMath&gt;&lt;m:sSub&gt;&lt;m:sSubPr&gt;&lt;m:ctrlPr&gt;&lt;w:rPr&gt;&lt;w:rStyle w:val=&quot;apple-style-span&quot;/&gt;&lt;w:rFonts w:ascii=&quot;Cambria Math&quot; w:fareast=&quot;">
            <v:imagedata r:id="rId8" o:title="" chromakey="white"/>
          </v:shape>
        </w:pict>
      </w:r>
      <w:r w:rsidRPr="00732CF9">
        <w:rPr>
          <w:rStyle w:val="apple-style-span"/>
        </w:rPr>
        <w:fldChar w:fldCharType="end"/>
      </w:r>
      <w:r w:rsidRPr="004315B7">
        <w:rPr>
          <w:rStyle w:val="apple-style-span"/>
        </w:rPr>
        <w:t>,</w:t>
      </w:r>
      <w:r w:rsidRPr="00732CF9">
        <w:rPr>
          <w:rStyle w:val="apple-style-span"/>
        </w:rPr>
        <w:fldChar w:fldCharType="begin"/>
      </w:r>
      <w:r w:rsidRPr="00732CF9">
        <w:rPr>
          <w:rStyle w:val="apple-style-span"/>
        </w:rPr>
        <w:instrText xml:space="preserve"> QUOTE </w:instrText>
      </w:r>
      <w:r w:rsidRPr="00732CF9">
        <w:pict>
          <v:shape id="_x0000_i1089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3CA2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703CA2&quot;&gt;&lt;m:oMathPara&gt;&lt;m:oMath&gt;&lt;m:sSub&gt;&lt;m:sSubPr&gt;&lt;m:ctrlPr&gt;&lt;w:rPr&gt;&lt;w:rStyle w:val=&quot;apple-style-span&quot;/&gt;&lt;w:rFonts w:ascii=&quot;Cambria Math&quot; w:fareast=&quot;">
            <v:imagedata r:id="rId34" o:title="" chromakey="white"/>
          </v:shape>
        </w:pict>
      </w:r>
      <w:r w:rsidRPr="00732CF9">
        <w:rPr>
          <w:rStyle w:val="apple-style-span"/>
        </w:rPr>
        <w:instrText xml:space="preserve"> </w:instrText>
      </w:r>
      <w:r w:rsidRPr="00732CF9">
        <w:rPr>
          <w:rStyle w:val="apple-style-span"/>
        </w:rPr>
        <w:fldChar w:fldCharType="separate"/>
      </w:r>
      <w:r w:rsidRPr="00732CF9">
        <w:pict>
          <v:shape id="_x0000_i1090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3CA2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703CA2&quot;&gt;&lt;m:oMathPara&gt;&lt;m:oMath&gt;&lt;m:sSub&gt;&lt;m:sSubPr&gt;&lt;m:ctrlPr&gt;&lt;w:rPr&gt;&lt;w:rStyle w:val=&quot;apple-style-span&quot;/&gt;&lt;w:rFonts w:ascii=&quot;Cambria Math&quot; w:fareast=&quot;">
            <v:imagedata r:id="rId34" o:title="" chromakey="white"/>
          </v:shape>
        </w:pict>
      </w:r>
      <w:r w:rsidRPr="00732CF9">
        <w:rPr>
          <w:rStyle w:val="apple-style-span"/>
        </w:rPr>
        <w:fldChar w:fldCharType="end"/>
      </w:r>
      <w:r w:rsidRPr="004315B7">
        <w:rPr>
          <w:rStyle w:val="apple-style-span"/>
        </w:rPr>
        <w:t>,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091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9085A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B9085A&quot;&gt;&lt;m:oMathPara&gt;&lt;m:oMath&gt;&lt;m:sSub&gt;&lt;m:sSubPr&gt;&lt;m:ctrlPr&gt;&lt;w:rPr&gt;&lt;w:rStyle w:val=&quot;apple-style-span&quot;/&gt;&lt;w:rFonts w:ascii=&quot;Cambria Math&quot; w:fareast=&quot;">
            <v:imagedata r:id="rId35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092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9085A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B9085A&quot;&gt;&lt;m:oMathPara&gt;&lt;m:oMath&gt;&lt;m:sSub&gt;&lt;m:sSubPr&gt;&lt;m:ctrlPr&gt;&lt;w:rPr&gt;&lt;w:rStyle w:val=&quot;apple-style-span&quot;/&gt;&lt;w:rFonts w:ascii=&quot;Cambria Math&quot; w:fareast=&quot;">
            <v:imagedata r:id="rId35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 w:hint="eastAsia"/>
        </w:rPr>
        <w:t>，做多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093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676F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676FA&quot;&gt;&lt;m:oMathPara&gt;&lt;m:oMath&gt;&lt;m:sSub&gt;&lt;m:sSubPr&gt;&lt;m:ctrlPr&gt;&lt;w:rPr&gt;&lt;w:rStyle w:val=&quot;apple-style-span&quot;/&gt;&lt;w:rFonts w:ascii=&quot;Cambria Math&quot; w:fareast=&quot;">
            <v:imagedata r:id="rId7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094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676F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676FA&quot;&gt;&lt;m:oMathPara&gt;&lt;m:oMath&gt;&lt;m:sSub&gt;&lt;m:sSubPr&gt;&lt;m:ctrlPr&gt;&lt;w:rPr&gt;&lt;w:rStyle w:val=&quot;apple-style-span&quot;/&gt;&lt;w:rFonts w:ascii=&quot;Cambria Math&quot; w:fareast=&quot;">
            <v:imagedata r:id="rId7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 w:hint="eastAsia"/>
        </w:rPr>
        <w:t>和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095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25AC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0025AC&quot;&gt;&lt;m:oMathPara&gt;&lt;m:oMath&gt;&lt;m:sSub&gt;&lt;m:sSubPr&gt;&lt;m:ctrlPr&gt;&lt;w:rPr&gt;&lt;w:rStyle w:val=&quot;apple-style-span&quot;/&gt;&lt;w:rFonts w:ascii=&quot;Cambria Math&quot; w:fareast=&quot;">
            <v:imagedata r:id="rId8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096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25AC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0025AC&quot;&gt;&lt;m:oMathPara&gt;&lt;m:oMath&gt;&lt;m:sSub&gt;&lt;m:sSubPr&gt;&lt;m:ctrlPr&gt;&lt;w:rPr&gt;&lt;w:rStyle w:val=&quot;apple-style-span&quot;/&gt;&lt;w:rFonts w:ascii=&quot;Cambria Math&quot; w:fareast=&quot;">
            <v:imagedata r:id="rId8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 w:hint="eastAsia"/>
        </w:rPr>
        <w:t>並放空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097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A85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9D2A85&quot;&gt;&lt;m:oMathPara&gt;&lt;m:oMath&gt;&lt;m:sSub&gt;&lt;m:sSubPr&gt;&lt;m:ctrlPr&gt;&lt;w:rPr&gt;&lt;w:rStyle w:val=&quot;apple-style-span&quot;/&gt;&lt;w:rFonts w:ascii=&quot;Cambria Math&quot; w:fareast=&quot;">
            <v:imagedata r:id="rId34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098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A85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9D2A85&quot;&gt;&lt;m:oMathPara&gt;&lt;m:oMath&gt;&lt;m:sSub&gt;&lt;m:sSubPr&gt;&lt;m:ctrlPr&gt;&lt;w:rPr&gt;&lt;w:rStyle w:val=&quot;apple-style-span&quot;/&gt;&lt;w:rFonts w:ascii=&quot;Cambria Math&quot; w:fareast=&quot;">
            <v:imagedata r:id="rId34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cs="Arial"/>
        </w:rPr>
        <w:t>,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099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15E24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15E24&quot;&gt;&lt;m:oMathPara&gt;&lt;m:oMath&gt;&lt;m:sSub&gt;&lt;m:sSubPr&gt;&lt;m:ctrlPr&gt;&lt;w:rPr&gt;&lt;w:rStyle w:val=&quot;apple-style-span&quot;/&gt;&lt;w:rFonts w:ascii=&quot;Cambria Math&quot; w:fareast=&quot;">
            <v:imagedata r:id="rId35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100" type="#_x0000_t75" style="width:15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15E24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15E24&quot;&gt;&lt;m:oMathPara&gt;&lt;m:oMath&gt;&lt;m:sSub&gt;&lt;m:sSubPr&gt;&lt;m:ctrlPr&gt;&lt;w:rPr&gt;&lt;w:rStyle w:val=&quot;apple-style-span&quot;/&gt;&lt;w:rFonts w:ascii=&quot;Cambria Math&quot; w:fareast=&quot;">
            <v:imagedata r:id="rId35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 w:hint="eastAsia"/>
        </w:rPr>
        <w:t>，並等權重做多及放空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01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A3A04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9A3A04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02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A3A04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9A3A04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03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7379F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7379F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04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7379F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7379F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4315B7">
        <w:rPr>
          <w:rStyle w:val="apple-style-span"/>
          <w:rFonts w:ascii="新細明體" w:hAnsi="新細明體" w:cs="Arial" w:hint="eastAsia"/>
        </w:rPr>
        <w:t>，此值為</w:t>
      </w:r>
      <w:r w:rsidRPr="004315B7">
        <w:rPr>
          <w:rStyle w:val="apple-style-span"/>
          <w:rFonts w:ascii="新細明體" w:hAnsi="新細明體" w:cs="Arial"/>
        </w:rPr>
        <w:t>r =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105" type="#_x0000_t75" style="width:2in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40875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40875&quot;&gt;&lt;m:oMathPara&gt;&lt;m:oMath&gt;&lt;m:r&gt;&lt;m:rPr&gt;&lt;m:sty m:val=&quot;p&quot;/&gt;&lt;/m:rPr&gt;&lt;w:rPr&gt;&lt;w:rStyle w:val=&quot;apple-style-span&quot;/&gt;&lt;w:rFonts w:ascii=&quot;Cambria Math&quot; w:fareast=&quot;">
            <v:imagedata r:id="rId37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106" type="#_x0000_t75" style="width:2in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40875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40875&quot;&gt;&lt;m:oMathPara&gt;&lt;m:oMath&gt;&lt;m:r&gt;&lt;m:rPr&gt;&lt;m:sty m:val=&quot;p&quot;/&gt;&lt;/m:rPr&gt;&lt;w:rPr&gt;&lt;w:rStyle w:val=&quot;apple-style-span&quot;/&gt;&lt;w:rFonts w:ascii=&quot;Cambria Math&quot; w:fareast=&quot;">
            <v:imagedata r:id="rId37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/>
        </w:rPr>
        <w:t>+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107" type="#_x0000_t75" style="width:243.7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935AA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935AA&quot;&gt;&lt;m:oMathPara&gt;&lt;m:oMath&gt;&lt;m:sSub&gt;&lt;m:sSubPr&gt;&lt;m:ctrlPr&gt;&lt;w:rPr&gt;&lt;w:rStyle w:val=&quot;apple-style-span&quot;/&gt;&lt;w:rFonts w:ascii=&quot;Cambria Math&quot; w:fareast=&quot;">
            <v:imagedata r:id="rId13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108" type="#_x0000_t75" style="width:243.7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935AA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935AA&quot;&gt;&lt;m:oMathPara&gt;&lt;m:oMath&gt;&lt;m:sSub&gt;&lt;m:sSubPr&gt;&lt;m:ctrlPr&gt;&lt;w:rPr&gt;&lt;w:rStyle w:val=&quot;apple-style-span&quot;/&gt;&lt;w:rFonts w:ascii=&quot;Cambria Math&quot; w:fareast=&quot;">
            <v:imagedata r:id="rId13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 w:rsidRPr="004315B7">
        <w:rPr>
          <w:rStyle w:val="apple-style-span"/>
          <w:rFonts w:ascii="新細明體" w:hAnsi="新細明體" w:cs="Arial" w:hint="eastAsia"/>
        </w:rPr>
        <w:t>（也將用於</w:t>
      </w:r>
      <w:r w:rsidRPr="004315B7">
        <w:rPr>
          <w:rStyle w:val="apple-style-span"/>
          <w:rFonts w:ascii="新細明體" w:hAnsi="新細明體" w:cs="Arial"/>
        </w:rPr>
        <w:t>mean-variance analysis</w:t>
      </w:r>
      <w:r w:rsidRPr="004315B7">
        <w:rPr>
          <w:rStyle w:val="apple-style-span"/>
          <w:rFonts w:ascii="新細明體" w:hAnsi="新細明體" w:cs="Arial" w:hint="eastAsia"/>
        </w:rPr>
        <w:t>的條件之一中）。</w:t>
      </w:r>
      <w:r w:rsidRPr="004315B7">
        <w:rPr>
          <w:rStyle w:val="apple-style-span"/>
          <w:rFonts w:ascii="新細明體" w:hAnsi="新細明體" w:cs="Arial"/>
        </w:rPr>
        <w:t xml:space="preserve"> </w:t>
      </w:r>
      <w:r w:rsidRPr="004315B7">
        <w:rPr>
          <w:rStyle w:val="apple-style-span"/>
          <w:rFonts w:ascii="新細明體" w:hAnsi="新細明體" w:cs="Arial" w:hint="eastAsia"/>
        </w:rPr>
        <w:t>本研究將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09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862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14862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10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862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14862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11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60559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60559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12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60559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60559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4315B7">
        <w:rPr>
          <w:rFonts w:ascii="新細明體" w:hAnsi="新細明體" w:hint="eastAsia"/>
        </w:rPr>
        <w:t>套用於下一期的資料，算出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收益，例如先計算出西元</w:t>
      </w:r>
      <w:r w:rsidRPr="004315B7">
        <w:rPr>
          <w:rFonts w:ascii="新細明體" w:hAnsi="新細明體"/>
        </w:rPr>
        <w:t>1995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</w:t>
      </w:r>
      <w:r w:rsidRPr="004315B7">
        <w:rPr>
          <w:rFonts w:ascii="新細明體" w:hAnsi="新細明體" w:hint="eastAsia"/>
        </w:rPr>
        <w:t>月到</w:t>
      </w:r>
      <w:r w:rsidRPr="004315B7">
        <w:rPr>
          <w:rFonts w:ascii="新細明體" w:hAnsi="新細明體"/>
        </w:rPr>
        <w:t>1999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12</w:t>
      </w:r>
      <w:r w:rsidRPr="004315B7">
        <w:rPr>
          <w:rFonts w:ascii="新細明體" w:hAnsi="新細明體" w:hint="eastAsia"/>
        </w:rPr>
        <w:t>月共</w:t>
      </w:r>
      <w:r w:rsidRPr="004315B7">
        <w:rPr>
          <w:rFonts w:ascii="新細明體" w:hAnsi="新細明體"/>
        </w:rPr>
        <w:t>60</w:t>
      </w:r>
      <w:r w:rsidRPr="004315B7">
        <w:rPr>
          <w:rFonts w:ascii="新細明體" w:hAnsi="新細明體" w:hint="eastAsia"/>
        </w:rPr>
        <w:t>筆資料的</w:t>
      </w:r>
      <w:r w:rsidRPr="004315B7">
        <w:rPr>
          <w:rStyle w:val="apple-style-span"/>
          <w:rFonts w:ascii="新細明體" w:hAnsi="新細明體" w:cs="Arial" w:hint="eastAsia"/>
        </w:rPr>
        <w:t>平均投資收益並</w:t>
      </w:r>
      <w:r>
        <w:rPr>
          <w:rFonts w:ascii="新細明體" w:hAnsi="新細明體" w:hint="eastAsia"/>
        </w:rPr>
        <w:t>高低</w:t>
      </w:r>
      <w:r w:rsidRPr="004315B7">
        <w:rPr>
          <w:rFonts w:ascii="新細明體" w:hAnsi="新細明體" w:hint="eastAsia"/>
        </w:rPr>
        <w:t>排列，</w:t>
      </w:r>
      <w:r w:rsidRPr="004315B7">
        <w:rPr>
          <w:rStyle w:val="apple-style-span"/>
          <w:rFonts w:ascii="新細明體" w:hAnsi="新細明體" w:cs="Arial" w:hint="eastAsia"/>
        </w:rPr>
        <w:t>等權重做多及放空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13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6D8B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246D8B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14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6D8B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246D8B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15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03F9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203F9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16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03F9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203F9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4315B7">
        <w:rPr>
          <w:rFonts w:ascii="新細明體" w:hAnsi="新細明體" w:hint="eastAsia"/>
        </w:rPr>
        <w:t>得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17" type="#_x0000_t75" style="width:14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55C7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455C7&quot;&gt;&lt;m:oMathPara&gt;&lt;m:oMath&gt;&lt;m:sSup&gt;&lt;m:sSupPr&gt;&lt;m:ctrlPr&gt;&lt;w:rPr&gt;&lt;w:rFonts w:ascii=&quot;Cambria Math&quot; w:fareast=&quot;">
            <v:imagedata r:id="rId38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18" type="#_x0000_t75" style="width:14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55C7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455C7&quot;&gt;&lt;m:oMathPara&gt;&lt;m:oMath&gt;&lt;m:sSup&gt;&lt;m:sSupPr&gt;&lt;m:ctrlPr&gt;&lt;w:rPr&gt;&lt;w:rFonts w:ascii=&quot;Cambria Math&quot; w:fareast=&quot;">
            <v:imagedata r:id="rId38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，再將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19" type="#_x0000_t75" style="width:120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80A65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80A65&quot;&gt;&lt;m:oMathPara&gt;&lt;m:oMath&gt;&lt;m:r&gt;&lt;m:rPr&gt;&lt;m:sty m:val=&quot;p&quot;/&gt;&lt;/m:rPr&gt;&lt;w:rPr&gt;&lt;w:rFonts w:ascii=&quot;Cambria Math&quot; w:fareast=&quot;">
            <v:imagedata r:id="rId39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20" type="#_x0000_t75" style="width:120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80A65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80A65&quot;&gt;&lt;m:oMathPara&gt;&lt;m:oMath&gt;&lt;m:r&gt;&lt;m:rPr&gt;&lt;m:sty m:val=&quot;p&quot;/&gt;&lt;/m:rPr&gt;&lt;w:rPr&gt;&lt;w:rFonts w:ascii=&quot;Cambria Math&quot; w:fareast=&quot;">
            <v:imagedata r:id="rId39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西元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</w:t>
      </w:r>
      <w:r w:rsidRPr="004315B7">
        <w:rPr>
          <w:rFonts w:ascii="新細明體" w:hAnsi="新細明體" w:hint="eastAsia"/>
        </w:rPr>
        <w:t>月的資料中，計算出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</w:t>
      </w:r>
      <w:r w:rsidRPr="004315B7">
        <w:rPr>
          <w:rFonts w:ascii="新細明體" w:hAnsi="新細明體" w:hint="eastAsia"/>
        </w:rPr>
        <w:t>月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收益；計算西元</w:t>
      </w:r>
      <w:r w:rsidRPr="004315B7">
        <w:rPr>
          <w:rFonts w:ascii="新細明體" w:hAnsi="新細明體"/>
        </w:rPr>
        <w:t>1995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2</w:t>
      </w:r>
      <w:r w:rsidRPr="004315B7">
        <w:rPr>
          <w:rFonts w:ascii="新細明體" w:hAnsi="新細明體" w:hint="eastAsia"/>
        </w:rPr>
        <w:t>月到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</w:t>
      </w:r>
      <w:r w:rsidRPr="004315B7">
        <w:rPr>
          <w:rFonts w:ascii="新細明體" w:hAnsi="新細明體" w:hint="eastAsia"/>
        </w:rPr>
        <w:t>月共</w:t>
      </w:r>
      <w:r w:rsidRPr="004315B7">
        <w:rPr>
          <w:rFonts w:ascii="新細明體" w:hAnsi="新細明體"/>
        </w:rPr>
        <w:t>60</w:t>
      </w:r>
      <w:r w:rsidRPr="004315B7">
        <w:rPr>
          <w:rFonts w:ascii="新細明體" w:hAnsi="新細明體" w:hint="eastAsia"/>
        </w:rPr>
        <w:t>筆資料的</w:t>
      </w:r>
      <w:r w:rsidRPr="004315B7">
        <w:rPr>
          <w:rStyle w:val="apple-style-span"/>
          <w:rFonts w:ascii="新細明體" w:hAnsi="新細明體" w:cs="Arial" w:hint="eastAsia"/>
        </w:rPr>
        <w:t>平均投資收益並</w:t>
      </w:r>
      <w:r>
        <w:rPr>
          <w:rFonts w:ascii="新細明體" w:hAnsi="新細明體" w:hint="eastAsia"/>
        </w:rPr>
        <w:t>高低</w:t>
      </w:r>
      <w:r w:rsidRPr="004315B7">
        <w:rPr>
          <w:rFonts w:ascii="新細明體" w:hAnsi="新細明體" w:hint="eastAsia"/>
        </w:rPr>
        <w:t>排列，</w:t>
      </w:r>
      <w:r w:rsidRPr="004315B7">
        <w:rPr>
          <w:rStyle w:val="apple-style-span"/>
          <w:rFonts w:ascii="新細明體" w:hAnsi="新細明體" w:cs="Arial" w:hint="eastAsia"/>
        </w:rPr>
        <w:t>等權重做多及放空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21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5E7362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E7362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22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5E7362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E7362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23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15819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15819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24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15819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515819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4315B7">
        <w:rPr>
          <w:rFonts w:ascii="新細明體" w:hAnsi="新細明體" w:hint="eastAsia"/>
        </w:rPr>
        <w:t>得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25" type="#_x0000_t75" style="width:14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019F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0F019F&quot;&gt;&lt;m:oMathPara&gt;&lt;m:oMath&gt;&lt;m:sSup&gt;&lt;m:sSupPr&gt;&lt;m:ctrlPr&gt;&lt;w:rPr&gt;&lt;w:rFonts w:ascii=&quot;Cambria Math&quot; w:fareast=&quot;">
            <v:imagedata r:id="rId4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26" type="#_x0000_t75" style="width:14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019F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0F019F&quot;&gt;&lt;m:oMathPara&gt;&lt;m:oMath&gt;&lt;m:sSup&gt;&lt;m:sSupPr&gt;&lt;m:ctrlPr&gt;&lt;w:rPr&gt;&lt;w:rFonts w:ascii=&quot;Cambria Math&quot; w:fareast=&quot;">
            <v:imagedata r:id="rId4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，再將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27" type="#_x0000_t75" style="width:120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5AA2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9D5AA2&quot;&gt;&lt;m:oMathPara&gt;&lt;m:oMath&gt;&lt;m:r&gt;&lt;m:rPr&gt;&lt;m:sty m:val=&quot;p&quot;/&gt;&lt;/m:rPr&gt;&lt;w:rPr&gt;&lt;w:rFonts w:ascii=&quot;Cambria Math&quot; w:fareast=&quot;">
            <v:imagedata r:id="rId39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28" type="#_x0000_t75" style="width:120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5AA2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9D5AA2&quot;&gt;&lt;m:oMathPara&gt;&lt;m:oMath&gt;&lt;m:r&gt;&lt;m:rPr&gt;&lt;m:sty m:val=&quot;p&quot;/&gt;&lt;/m:rPr&gt;&lt;w:rPr&gt;&lt;w:rFonts w:ascii=&quot;Cambria Math&quot; w:fareast=&quot;">
            <v:imagedata r:id="rId39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西元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2</w:t>
      </w:r>
      <w:r w:rsidRPr="004315B7">
        <w:rPr>
          <w:rFonts w:ascii="新細明體" w:hAnsi="新細明體" w:hint="eastAsia"/>
        </w:rPr>
        <w:t>月的資料中，計算出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2</w:t>
      </w:r>
      <w:r w:rsidRPr="004315B7">
        <w:rPr>
          <w:rFonts w:ascii="新細明體" w:hAnsi="新細明體" w:hint="eastAsia"/>
        </w:rPr>
        <w:t>月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收益，以此類推，一直計算到西元</w:t>
      </w:r>
      <w:r w:rsidRPr="004315B7">
        <w:rPr>
          <w:rFonts w:ascii="新細明體" w:hAnsi="新細明體"/>
        </w:rPr>
        <w:t>2004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12</w:t>
      </w:r>
      <w:r w:rsidRPr="004315B7">
        <w:rPr>
          <w:rFonts w:ascii="新細明體" w:hAnsi="新細明體" w:hint="eastAsia"/>
        </w:rPr>
        <w:t>月到</w:t>
      </w:r>
      <w:r w:rsidRPr="004315B7">
        <w:rPr>
          <w:rFonts w:ascii="新細明體" w:hAnsi="新細明體"/>
        </w:rPr>
        <w:t>2009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11</w:t>
      </w:r>
      <w:r w:rsidRPr="004315B7">
        <w:rPr>
          <w:rFonts w:ascii="新細明體" w:hAnsi="新細明體" w:hint="eastAsia"/>
        </w:rPr>
        <w:t>月的</w:t>
      </w:r>
      <w:r w:rsidRPr="004315B7">
        <w:rPr>
          <w:rStyle w:val="apple-style-span"/>
          <w:rFonts w:ascii="新細明體" w:hAnsi="新細明體" w:cs="Arial" w:hint="eastAsia"/>
        </w:rPr>
        <w:t>平均投資收益並</w:t>
      </w:r>
      <w:r>
        <w:rPr>
          <w:rFonts w:ascii="新細明體" w:hAnsi="新細明體" w:hint="eastAsia"/>
        </w:rPr>
        <w:t>高低</w:t>
      </w:r>
      <w:r w:rsidRPr="004315B7">
        <w:rPr>
          <w:rFonts w:ascii="新細明體" w:hAnsi="新細明體" w:hint="eastAsia"/>
        </w:rPr>
        <w:t>排列，</w:t>
      </w:r>
      <w:r w:rsidRPr="004315B7">
        <w:rPr>
          <w:rStyle w:val="apple-style-span"/>
          <w:rFonts w:ascii="新細明體" w:hAnsi="新細明體" w:cs="Arial" w:hint="eastAsia"/>
        </w:rPr>
        <w:t>等權重做多及放空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29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123E3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123E3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30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123E3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123E3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31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5E8E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D5E8E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32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5E8E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D5E8E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4315B7">
        <w:rPr>
          <w:rFonts w:ascii="新細明體" w:hAnsi="新細明體" w:hint="eastAsia"/>
        </w:rPr>
        <w:t>得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33" type="#_x0000_t75" style="width:24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12A0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8312A0&quot;&gt;&lt;m:oMathPara&gt;&lt;m:oMath&gt;&lt;m:sSup&gt;&lt;m:sSupPr&gt;&lt;m:ctrlPr&gt;&lt;w:rPr&gt;&lt;w:rFonts w:ascii=&quot;Cambria Math&quot; w:fareast=&quot;">
            <v:imagedata r:id="rId41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34" type="#_x0000_t75" style="width:24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12A0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8312A0&quot;&gt;&lt;m:oMathPara&gt;&lt;m:oMath&gt;&lt;m:sSup&gt;&lt;m:sSupPr&gt;&lt;m:ctrlPr&gt;&lt;w:rPr&gt;&lt;w:rFonts w:ascii=&quot;Cambria Math&quot; w:fareast=&quot;">
            <v:imagedata r:id="rId41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，再將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35" type="#_x0000_t75" style="width:120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924A3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924A3&quot;&gt;&lt;m:oMathPara&gt;&lt;m:oMath&gt;&lt;m:r&gt;&lt;m:rPr&gt;&lt;m:sty m:val=&quot;p&quot;/&gt;&lt;/m:rPr&gt;&lt;w:rPr&gt;&lt;w:rFonts w:ascii=&quot;Cambria Math&quot; w:fareast=&quot;">
            <v:imagedata r:id="rId39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36" type="#_x0000_t75" style="width:120pt;height:27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924A3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924A3&quot;&gt;&lt;m:oMathPara&gt;&lt;m:oMath&gt;&lt;m:r&gt;&lt;m:rPr&gt;&lt;m:sty m:val=&quot;p&quot;/&gt;&lt;/m:rPr&gt;&lt;w:rPr&gt;&lt;w:rFonts w:ascii=&quot;Cambria Math&quot; w:fareast=&quot;">
            <v:imagedata r:id="rId39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西元</w:t>
      </w:r>
      <w:r w:rsidRPr="004315B7">
        <w:rPr>
          <w:rFonts w:ascii="新細明體" w:hAnsi="新細明體"/>
        </w:rPr>
        <w:t>2009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12</w:t>
      </w:r>
      <w:r w:rsidRPr="004315B7">
        <w:rPr>
          <w:rFonts w:ascii="新細明體" w:hAnsi="新細明體" w:hint="eastAsia"/>
        </w:rPr>
        <w:t>月的資料中，計算出</w:t>
      </w:r>
      <w:r w:rsidRPr="004315B7">
        <w:rPr>
          <w:rFonts w:ascii="新細明體" w:hAnsi="新細明體"/>
        </w:rPr>
        <w:t>2009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12</w:t>
      </w:r>
      <w:r w:rsidRPr="004315B7">
        <w:rPr>
          <w:rFonts w:ascii="新細明體" w:hAnsi="新細明體" w:hint="eastAsia"/>
        </w:rPr>
        <w:t>月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收益。我們將此</w:t>
      </w:r>
      <w:r w:rsidRPr="004315B7">
        <w:rPr>
          <w:rFonts w:ascii="新細明體" w:hAnsi="新細明體"/>
        </w:rPr>
        <w:t>120</w:t>
      </w:r>
      <w:r w:rsidRPr="004315B7">
        <w:rPr>
          <w:rFonts w:ascii="新細明體" w:hAnsi="新細明體" w:hint="eastAsia"/>
        </w:rPr>
        <w:t>筆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收益彙整，計算出</w:t>
      </w:r>
      <w:r w:rsidRPr="004315B7">
        <w:rPr>
          <w:rStyle w:val="apple-style-span"/>
          <w:rFonts w:ascii="Segoe UI" w:hAnsi="Segoe UI" w:cs="Segoe UI" w:hint="eastAsia"/>
        </w:rPr>
        <w:t>此資料數列的均值方差效率，即期望值與標準差的比值。</w:t>
      </w:r>
    </w:p>
    <w:p w:rsidR="00F52258" w:rsidRPr="008C5A5A" w:rsidRDefault="00F52258" w:rsidP="00E84F6D">
      <w:pPr>
        <w:widowControl/>
        <w:rPr>
          <w:rStyle w:val="apple-style-span"/>
          <w:rFonts w:ascii="新細明體" w:cs="Arial"/>
        </w:rPr>
      </w:pPr>
      <w:r>
        <w:rPr>
          <w:rStyle w:val="apple-style-span"/>
          <w:rFonts w:ascii="新細明體" w:cs="Arial"/>
        </w:rPr>
        <w:br w:type="page"/>
      </w:r>
    </w:p>
    <w:p w:rsidR="00F52258" w:rsidRPr="00561569" w:rsidRDefault="00F52258" w:rsidP="00561569">
      <w:pPr>
        <w:pStyle w:val="ListParagraph"/>
        <w:numPr>
          <w:ilvl w:val="2"/>
          <w:numId w:val="11"/>
        </w:numPr>
        <w:spacing w:line="360" w:lineRule="auto"/>
        <w:ind w:leftChars="0"/>
        <w:rPr>
          <w:rStyle w:val="apple-style-span"/>
        </w:rPr>
      </w:pPr>
      <w:r>
        <w:rPr>
          <w:rStyle w:val="apple-style-span"/>
          <w:rFonts w:hint="eastAsia"/>
        </w:rPr>
        <w:t>均值方差分析</w:t>
      </w:r>
    </w:p>
    <w:p w:rsidR="00F52258" w:rsidRPr="008C5A5A" w:rsidRDefault="00F52258" w:rsidP="008C5A5A">
      <w:pPr>
        <w:spacing w:line="360" w:lineRule="auto"/>
        <w:rPr>
          <w:rFonts w:ascii="新細明體"/>
        </w:rPr>
      </w:pPr>
      <w:r w:rsidRPr="004315B7">
        <w:rPr>
          <w:rFonts w:ascii="新細明體" w:hAnsi="新細明體" w:hint="eastAsia"/>
        </w:rPr>
        <w:t>本研究先由前五年的資料（共</w:t>
      </w:r>
      <w:r w:rsidRPr="004315B7">
        <w:rPr>
          <w:rFonts w:ascii="新細明體" w:hAnsi="新細明體"/>
        </w:rPr>
        <w:t>60</w:t>
      </w:r>
      <w:r w:rsidRPr="004315B7">
        <w:rPr>
          <w:rFonts w:ascii="新細明體" w:hAnsi="新細明體" w:hint="eastAsia"/>
        </w:rPr>
        <w:t>筆資料），算出最適</w:t>
      </w:r>
      <w:r>
        <w:rPr>
          <w:rFonts w:ascii="新細明體" w:hAnsi="新細明體" w:hint="eastAsia"/>
        </w:rPr>
        <w:t>解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37" type="#_x0000_t75" style="width:121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82F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82F93&quot;&gt;&lt;m:oMathPara&gt;&lt;m:oMath&gt;&lt;m:sSub&gt;&lt;m:sSubPr&gt;&lt;m:ctrlPr&gt;&lt;w:rPr&gt;&lt;w:rFonts w:ascii=&quot;Cambria Math&quot; w:fareast=&quot;">
            <v:imagedata r:id="rId42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38" type="#_x0000_t75" style="width:121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82F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C82F93&quot;&gt;&lt;m:oMathPara&gt;&lt;m:oMath&gt;&lt;m:sSub&gt;&lt;m:sSubPr&gt;&lt;m:ctrlPr&gt;&lt;w:rPr&gt;&lt;w:rFonts w:ascii=&quot;Cambria Math&quot; w:fareast=&quot;">
            <v:imagedata r:id="rId42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：</w:t>
      </w:r>
    </w:p>
    <w:p w:rsidR="00F52258" w:rsidRPr="008C5A5A" w:rsidRDefault="00F52258" w:rsidP="008C5A5A">
      <w:pPr>
        <w:spacing w:line="360" w:lineRule="auto"/>
        <w:jc w:val="center"/>
        <w:rPr>
          <w:rFonts w:ascii="新細明體"/>
        </w:rPr>
      </w:pPr>
      <w:r w:rsidRPr="004315B7">
        <w:t>Min</w:t>
      </w:r>
      <w:r w:rsidRPr="004315B7">
        <w:rPr>
          <w:rFonts w:ascii="新細明體" w:hAnsi="新細明體"/>
        </w:rPr>
        <w:t xml:space="preserve">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39" type="#_x0000_t75" style="width:138.7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527E2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527E2&quot;&gt;&lt;m:oMathPara&gt;&lt;m:oMath&gt;&lt;m:sSup&gt;&lt;m:sSupPr&gt;&lt;m:ctrlPr&gt;&lt;w:rPr&gt;&lt;w:rFonts w:ascii=&quot;Cambria Math&quot; w:fareast=&quot;">
            <v:imagedata r:id="rId43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40" type="#_x0000_t75" style="width:138.7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527E2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527E2&quot;&gt;&lt;m:oMathPara&gt;&lt;m:oMath&gt;&lt;m:sSup&gt;&lt;m:sSupPr&gt;&lt;m:ctrlPr&gt;&lt;w:rPr&gt;&lt;w:rFonts w:ascii=&quot;Cambria Math&quot; w:fareast=&quot;">
            <v:imagedata r:id="rId43" o:title="" chromakey="white"/>
          </v:shape>
        </w:pict>
      </w:r>
      <w:r w:rsidRPr="00732CF9">
        <w:rPr>
          <w:rFonts w:ascii="新細明體" w:hAnsi="新細明體"/>
        </w:rPr>
        <w:fldChar w:fldCharType="end"/>
      </w:r>
    </w:p>
    <w:p w:rsidR="00F52258" w:rsidRPr="008C5A5A" w:rsidRDefault="00F52258" w:rsidP="008C5A5A">
      <w:pPr>
        <w:spacing w:line="360" w:lineRule="auto"/>
        <w:rPr>
          <w:rFonts w:ascii="新細明體"/>
        </w:rPr>
      </w:pPr>
      <w:r w:rsidRPr="004315B7">
        <w:rPr>
          <w:rFonts w:ascii="新細明體" w:hAnsi="新細明體" w:hint="eastAsia"/>
        </w:rPr>
        <w:t>使得</w:t>
      </w:r>
    </w:p>
    <w:p w:rsidR="00F52258" w:rsidRPr="008C5A5A" w:rsidRDefault="00F52258" w:rsidP="008C5A5A">
      <w:pPr>
        <w:spacing w:line="360" w:lineRule="auto"/>
        <w:jc w:val="center"/>
        <w:rPr>
          <w:rFonts w:ascii="新細明體"/>
        </w:rPr>
      </w:pPr>
      <w:r w:rsidRPr="004315B7">
        <w:rPr>
          <w:rFonts w:ascii="新細明體" w:hAnsi="新細明體"/>
        </w:rPr>
        <w:t>E[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41" type="#_x0000_t75" style="width:13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398B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9398B&quot;&gt;&lt;m:oMathPara&gt;&lt;m:oMath&gt;&lt;m:sSub&gt;&lt;m:sSubPr&gt;&lt;m:ctrlPr&gt;&lt;w:rPr&gt;&lt;w:rFonts w:ascii=&quot;Cambria Math&quot; w:fareast=&quot;">
            <v:imagedata r:id="rId17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42" type="#_x0000_t75" style="width:13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398B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9398B&quot;&gt;&lt;m:oMathPara&gt;&lt;m:oMath&gt;&lt;m:sSub&gt;&lt;m:sSubPr&gt;&lt;m:ctrlPr&gt;&lt;w:rPr&gt;&lt;w:rFonts w:ascii=&quot;Cambria Math&quot; w:fareast=&quot;">
            <v:imagedata r:id="rId17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] = r, 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43" type="#_x0000_t75" style="width:33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C055C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C055C&quot;&gt;&lt;m:oMathPara&gt;&lt;m:oMath&gt;&lt;m:nary&gt;&lt;m:naryPr&gt;&lt;m:chr m:val=&quot;">
            <v:imagedata r:id="rId18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44" type="#_x0000_t75" style="width:33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C055C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C055C&quot;&gt;&lt;m:oMathPara&gt;&lt;m:oMath&gt;&lt;m:nary&gt;&lt;m:naryPr&gt;&lt;m:chr m:val=&quot;">
            <v:imagedata r:id="rId18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= 0, 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45" type="#_x0000_t75" style="width:39.7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93B4C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F93B4C&quot;&gt;&lt;m:oMathPara&gt;&lt;m:oMath&gt;&lt;m:nary&gt;&lt;m:naryPr&gt;&lt;m:chr m:val=&quot;">
            <v:imagedata r:id="rId19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46" type="#_x0000_t75" style="width:39.75pt;height:4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93B4C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F93B4C&quot;&gt;&lt;m:oMathPara&gt;&lt;m:oMath&gt;&lt;m:nary&gt;&lt;m:naryPr&gt;&lt;m:chr m:val=&quot;">
            <v:imagedata r:id="rId19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= 2</w:t>
      </w:r>
    </w:p>
    <w:p w:rsidR="00F52258" w:rsidRPr="008C5A5A" w:rsidRDefault="00F52258" w:rsidP="008C5A5A">
      <w:pPr>
        <w:spacing w:line="360" w:lineRule="auto"/>
        <w:rPr>
          <w:rFonts w:ascii="新細明體"/>
        </w:rPr>
      </w:pPr>
      <w:r w:rsidRPr="004315B7">
        <w:rPr>
          <w:rFonts w:ascii="新細明體" w:hAnsi="新細明體" w:hint="eastAsia"/>
        </w:rPr>
        <w:t>若以矩陣方式表示，即為找到一個向量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47" type="#_x0000_t75" style="width:48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8E462C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8E462C&quot;&gt;&lt;m:oMathPara&gt;&lt;m:oMath&gt;&lt;m:r&gt;&lt;m:rPr&gt;&lt;m:sty m:val=&quot;p&quot;/&gt;&lt;/m:rPr&gt;&lt;w:rPr&gt;&lt;w:rFonts w:ascii=&quot;Cambria Math&quot; w:fareast=&quot;">
            <v:imagedata r:id="rId2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48" type="#_x0000_t75" style="width:48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8E462C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8E462C&quot;&gt;&lt;m:oMathPara&gt;&lt;m:oMath&gt;&lt;m:r&gt;&lt;m:rPr&gt;&lt;m:sty m:val=&quot;p&quot;/&gt;&lt;/m:rPr&gt;&lt;w:rPr&gt;&lt;w:rFonts w:ascii=&quot;Cambria Math&quot; w:fareast=&quot;">
            <v:imagedata r:id="rId2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滿足</w:t>
      </w:r>
    </w:p>
    <w:p w:rsidR="00F52258" w:rsidRPr="008C5A5A" w:rsidRDefault="00F52258" w:rsidP="008C5A5A">
      <w:pPr>
        <w:spacing w:line="360" w:lineRule="auto"/>
        <w:jc w:val="center"/>
        <w:rPr>
          <w:rFonts w:ascii="新細明體"/>
        </w:rPr>
      </w:pPr>
      <w:r w:rsidRPr="004315B7">
        <w:t xml:space="preserve">Min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49" type="#_x0000_t75" style="width:33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60898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60898&quot;&gt;&lt;m:oMathPara&gt;&lt;m:oMath&gt;&lt;m:sSup&gt;&lt;m:sSupPr&gt;&lt;m:ctrlPr&gt;&lt;w:rPr&gt;&lt;w:rFonts w:ascii=&quot;Cambria Math&quot; w:fareast=&quot;">
            <v:imagedata r:id="rId21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50" type="#_x0000_t75" style="width:33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60898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60898&quot;&gt;&lt;m:oMathPara&gt;&lt;m:oMath&gt;&lt;m:sSup&gt;&lt;m:sSupPr&gt;&lt;m:ctrlPr&gt;&lt;w:rPr&gt;&lt;w:rFonts w:ascii=&quot;Cambria Math&quot; w:fareast=&quot;">
            <v:imagedata r:id="rId21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</w:t>
      </w:r>
      <w:r w:rsidRPr="004315B7">
        <w:rPr>
          <w:rFonts w:ascii="新細明體" w:hAnsi="新細明體"/>
          <w:b/>
        </w:rPr>
        <w:t>w</w:t>
      </w:r>
      <w:r w:rsidRPr="004315B7">
        <w:rPr>
          <w:rFonts w:ascii="新細明體" w:hAnsi="新細明體"/>
          <w:b/>
          <w:i/>
        </w:rPr>
        <w:t>V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51" type="#_x0000_t75" style="width:25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0A68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700A68&quot;&gt;&lt;m:oMathPara&gt;&lt;m:oMath&gt;&lt;m:sSup&gt;&lt;m:sSupPr&gt;&lt;m:ctrlPr&gt;&lt;w:rPr&gt;&lt;w:rFonts w:ascii=&quot;Cambria Math&quot; w:fareast=&quot;">
            <v:imagedata r:id="rId22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52" type="#_x0000_t75" style="width:25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0A68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700A68&quot;&gt;&lt;m:oMathPara&gt;&lt;m:oMath&gt;&lt;m:sSup&gt;&lt;m:sSupPr&gt;&lt;m:ctrlPr&gt;&lt;w:rPr&gt;&lt;w:rFonts w:ascii=&quot;Cambria Math&quot; w:fareast=&quot;">
            <v:imagedata r:id="rId22" o:title="" chromakey="white"/>
          </v:shape>
        </w:pict>
      </w:r>
      <w:r w:rsidRPr="00732CF9">
        <w:rPr>
          <w:rFonts w:ascii="新細明體" w:hAnsi="新細明體"/>
        </w:rPr>
        <w:fldChar w:fldCharType="end"/>
      </w:r>
    </w:p>
    <w:p w:rsidR="00F52258" w:rsidRPr="008C5A5A" w:rsidRDefault="00F52258" w:rsidP="008C5A5A">
      <w:pPr>
        <w:spacing w:line="360" w:lineRule="auto"/>
        <w:rPr>
          <w:rFonts w:ascii="新細明體"/>
        </w:rPr>
      </w:pPr>
      <w:r w:rsidRPr="004315B7">
        <w:rPr>
          <w:rFonts w:ascii="新細明體" w:hAnsi="新細明體" w:hint="eastAsia"/>
        </w:rPr>
        <w:t>使得</w:t>
      </w:r>
    </w:p>
    <w:p w:rsidR="00F52258" w:rsidRPr="008C5A5A" w:rsidRDefault="00F52258" w:rsidP="008C5A5A">
      <w:pPr>
        <w:spacing w:line="360" w:lineRule="auto"/>
        <w:jc w:val="center"/>
        <w:rPr>
          <w:rFonts w:ascii="新細明體"/>
        </w:rPr>
      </w:pPr>
      <w:r w:rsidRPr="004315B7">
        <w:rPr>
          <w:rFonts w:ascii="新細明體" w:hAnsi="新細明體"/>
          <w:b/>
        </w:rPr>
        <w:t>w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53" type="#_x0000_t75" style="width:1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37C8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B37C8&quot;&gt;&lt;m:oMathPara&gt;&lt;m:oMath&gt;&lt;m:sSup&gt;&lt;m:sSupPr&gt;&lt;m:ctrlPr&gt;&lt;w:rPr&gt;&lt;w:rFonts w:ascii=&quot;Cambria Math&quot; w:fareast=&quot;">
            <v:imagedata r:id="rId23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54" type="#_x0000_t75" style="width:1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37C8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B37C8&quot;&gt;&lt;m:oMathPara&gt;&lt;m:oMath&gt;&lt;m:sSup&gt;&lt;m:sSupPr&gt;&lt;m:ctrlPr&gt;&lt;w:rPr&gt;&lt;w:rFonts w:ascii=&quot;Cambria Math&quot; w:fareast=&quot;">
            <v:imagedata r:id="rId23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= r,  </w:t>
      </w:r>
      <w:r w:rsidRPr="004315B7">
        <w:rPr>
          <w:rFonts w:ascii="新細明體" w:hAnsi="新細明體"/>
          <w:b/>
        </w:rPr>
        <w:t>w</w:t>
      </w:r>
      <w:r w:rsidRPr="00732CF9">
        <w:rPr>
          <w:rFonts w:ascii="新細明體" w:hAnsi="新細明體"/>
          <w:b/>
        </w:rPr>
        <w:fldChar w:fldCharType="begin"/>
      </w:r>
      <w:r w:rsidRPr="00732CF9">
        <w:rPr>
          <w:rFonts w:ascii="新細明體" w:hAnsi="新細明體"/>
          <w:b/>
        </w:rPr>
        <w:instrText xml:space="preserve"> QUOTE </w:instrText>
      </w:r>
      <w:r w:rsidRPr="00732CF9">
        <w:pict>
          <v:shape id="_x0000_i1155" type="#_x0000_t75" style="width:15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1F2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EA21F2&quot;&gt;&lt;m:oMathPara&gt;&lt;m:oMath&gt;&lt;m:sSup&gt;&lt;m:sSupPr&gt;&lt;m:ctrlPr&gt;&lt;w:rPr&gt;&lt;w:rFonts w:ascii=&quot;Cambria Math&quot; w:fareast=&quot;">
            <v:imagedata r:id="rId24" o:title="" chromakey="white"/>
          </v:shape>
        </w:pict>
      </w:r>
      <w:r w:rsidRPr="00732CF9">
        <w:rPr>
          <w:rFonts w:ascii="新細明體" w:hAnsi="新細明體"/>
          <w:b/>
        </w:rPr>
        <w:instrText xml:space="preserve"> </w:instrText>
      </w:r>
      <w:r w:rsidRPr="00732CF9">
        <w:rPr>
          <w:rFonts w:ascii="新細明體" w:hAnsi="新細明體"/>
          <w:b/>
        </w:rPr>
        <w:fldChar w:fldCharType="separate"/>
      </w:r>
      <w:r w:rsidRPr="00732CF9">
        <w:pict>
          <v:shape id="_x0000_i1156" type="#_x0000_t75" style="width:15.7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1F2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EA21F2&quot;&gt;&lt;m:oMathPara&gt;&lt;m:oMath&gt;&lt;m:sSup&gt;&lt;m:sSupPr&gt;&lt;m:ctrlPr&gt;&lt;w:rPr&gt;&lt;w:rFonts w:ascii=&quot;Cambria Math&quot; w:fareast=&quot;">
            <v:imagedata r:id="rId24" o:title="" chromakey="white"/>
          </v:shape>
        </w:pict>
      </w:r>
      <w:r w:rsidRPr="00732CF9">
        <w:rPr>
          <w:rFonts w:ascii="新細明體" w:hAnsi="新細明體"/>
          <w:b/>
        </w:rPr>
        <w:fldChar w:fldCharType="end"/>
      </w:r>
      <w:r w:rsidRPr="004315B7">
        <w:rPr>
          <w:rFonts w:ascii="新細明體" w:hAnsi="新細明體"/>
          <w:b/>
        </w:rPr>
        <w:t xml:space="preserve"> </w:t>
      </w:r>
      <w:r w:rsidRPr="004315B7">
        <w:rPr>
          <w:rFonts w:ascii="新細明體" w:hAnsi="新細明體"/>
        </w:rPr>
        <w:t xml:space="preserve">= 0,  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57" type="#_x0000_t75" style="width:40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366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23666&quot;&gt;&lt;m:oMathPara&gt;&lt;m:oMath&gt;&lt;m:d&gt;&lt;m:dPr&gt;&lt;m:begChr m:val=&quot;|&quot;/&gt;&lt;m:endChr m:val=&quot;|&quot;/&gt;&lt;m:ctrlPr&gt;&lt;w:rPr&gt;&lt;w:rFonts w:ascii=&quot;Cambria Math&quot; w:fareast=&quot;">
            <v:imagedata r:id="rId25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58" type="#_x0000_t75" style="width:40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366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23666&quot;&gt;&lt;m:oMathPara&gt;&lt;m:oMath&gt;&lt;m:d&gt;&lt;m:dPr&gt;&lt;m:begChr m:val=&quot;|&quot;/&gt;&lt;m:endChr m:val=&quot;|&quot;/&gt;&lt;m:ctrlPr&gt;&lt;w:rPr&gt;&lt;w:rFonts w:ascii=&quot;Cambria Math&quot; w:fareast=&quot;">
            <v:imagedata r:id="rId25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 2</w:t>
      </w:r>
    </w:p>
    <w:p w:rsidR="00F52258" w:rsidRPr="008C5A5A" w:rsidRDefault="00F52258" w:rsidP="008C5A5A">
      <w:pPr>
        <w:spacing w:line="360" w:lineRule="auto"/>
        <w:rPr>
          <w:rFonts w:ascii="新細明體"/>
        </w:rPr>
      </w:pPr>
      <w:r w:rsidRPr="004315B7">
        <w:rPr>
          <w:rFonts w:ascii="新細明體" w:hAnsi="新細明體" w:hint="eastAsia"/>
        </w:rPr>
        <w:t>其中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59" type="#_x0000_t75" style="width:1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A358A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8A358A&quot;&gt;&lt;m:oMathPara&gt;&lt;m:oMath&gt;&lt;m:r&gt;&lt;m:rPr&gt;&lt;m:sty m:val=&quot;p&quot;/&gt;&lt;/m:rPr&gt;&lt;w:rPr&gt;&lt;w:rFonts w:ascii=&quot;Cambria Math&quot; w:fareast=&quot;">
            <v:imagedata r:id="rId2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60" type="#_x0000_t75" style="width:1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A358A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8A358A&quot;&gt;&lt;m:oMathPara&gt;&lt;m:oMath&gt;&lt;m:r&gt;&lt;m:rPr&gt;&lt;m:sty m:val=&quot;p&quot;/&gt;&lt;/m:rPr&gt;&lt;w:rPr&gt;&lt;w:rFonts w:ascii=&quot;Cambria Math&quot; w:fareast=&quot;">
            <v:imagedata r:id="rId26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 xml:space="preserve"> = (E[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61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0BA2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7B0BA2&quot;&gt;&lt;m:oMathPara&gt;&lt;m:oMath&gt;&lt;m:sSub&gt;&lt;m:sSubPr&gt;&lt;m:ctrlPr&gt;&lt;w:rPr&gt;&lt;w:rFonts w:ascii=&quot;Cambria Math&quot; w:fareast=&quot;">
            <v:imagedata r:id="rId27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62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0BA2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7B0BA2&quot;&gt;&lt;m:oMathPara&gt;&lt;m:oMath&gt;&lt;m:sSub&gt;&lt;m:sSubPr&gt;&lt;m:ctrlPr&gt;&lt;w:rPr&gt;&lt;w:rFonts w:ascii=&quot;Cambria Math&quot; w:fareast=&quot;">
            <v:imagedata r:id="rId27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], E[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63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07B3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F07B3&quot;&gt;&lt;m:oMathPara&gt;&lt;m:oMath&gt;&lt;m:sSub&gt;&lt;m:sSubPr&gt;&lt;m:ctrlPr&gt;&lt;w:rPr&gt;&lt;w:rFonts w:ascii=&quot;Cambria Math&quot; w:fareast=&quot;">
            <v:imagedata r:id="rId28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64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07B3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F07B3&quot;&gt;&lt;m:oMathPara&gt;&lt;m:oMath&gt;&lt;m:sSub&gt;&lt;m:sSubPr&gt;&lt;m:ctrlPr&gt;&lt;w:rPr&gt;&lt;w:rFonts w:ascii=&quot;Cambria Math&quot; w:fareast=&quot;">
            <v:imagedata r:id="rId28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], E[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65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261C3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B261C3&quot;&gt;&lt;m:oMathPara&gt;&lt;m:oMath&gt;&lt;m:sSub&gt;&lt;m:sSubPr&gt;&lt;m:ctrlPr&gt;&lt;w:rPr&gt;&lt;w:rFonts w:ascii=&quot;Cambria Math&quot; w:fareast=&quot;">
            <v:imagedata r:id="rId44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66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261C3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B261C3&quot;&gt;&lt;m:oMathPara&gt;&lt;m:oMath&gt;&lt;m:sSub&gt;&lt;m:sSubPr&gt;&lt;m:ctrlPr&gt;&lt;w:rPr&gt;&lt;w:rFonts w:ascii=&quot;Cambria Math&quot; w:fareast=&quot;">
            <v:imagedata r:id="rId44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],E[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67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1ED9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91ED9&quot;&gt;&lt;m:oMathPara&gt;&lt;m:oMath&gt;&lt;m:sSub&gt;&lt;m:sSubPr&gt;&lt;m:ctrlPr&gt;&lt;w:rPr&gt;&lt;w:rFonts w:ascii=&quot;Cambria Math&quot; w:fareast=&quot;">
            <v:imagedata r:id="rId45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68" type="#_x0000_t75" style="width:12.7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1ED9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91ED9&quot;&gt;&lt;m:oMathPara&gt;&lt;m:oMath&gt;&lt;m:sSub&gt;&lt;m:sSubPr&gt;&lt;m:ctrlPr&gt;&lt;w:rPr&gt;&lt;w:rFonts w:ascii=&quot;Cambria Math&quot; w:fareast=&quot;">
            <v:imagedata r:id="rId45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])</w:t>
      </w:r>
      <w:r w:rsidRPr="004315B7">
        <w:rPr>
          <w:rFonts w:ascii="新細明體" w:hAnsi="新細明體" w:hint="eastAsia"/>
        </w:rPr>
        <w:t>，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69" type="#_x0000_t75" style="width:25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EF7F62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EF7F62&quot;&gt;&lt;m:oMathPara&gt;&lt;m:oMath&gt;&lt;m:sSup&gt;&lt;m:sSupPr&gt;&lt;m:ctrlPr&gt;&lt;w:rPr&gt;&lt;w:rFonts w:ascii=&quot;Cambria Math&quot; w:fareast=&quot;">
            <v:imagedata r:id="rId22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70" type="#_x0000_t75" style="width:25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EF7F62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EF7F62&quot;&gt;&lt;m:oMathPara&gt;&lt;m:oMath&gt;&lt;m:sSup&gt;&lt;m:sSupPr&gt;&lt;m:ctrlPr&gt;&lt;w:rPr&gt;&lt;w:rFonts w:ascii=&quot;Cambria Math&quot; w:fareast=&quot;">
            <v:imagedata r:id="rId22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為</w:t>
      </w:r>
      <w:r w:rsidRPr="004315B7">
        <w:rPr>
          <w:rFonts w:ascii="新細明體" w:hAnsi="新細明體"/>
          <w:b/>
        </w:rPr>
        <w:t>w</w:t>
      </w:r>
      <w:r w:rsidRPr="004315B7">
        <w:rPr>
          <w:rFonts w:ascii="新細明體" w:hAnsi="新細明體" w:hint="eastAsia"/>
        </w:rPr>
        <w:t>的轉置矩陣，</w:t>
      </w:r>
      <w:r w:rsidRPr="004315B7">
        <w:rPr>
          <w:rFonts w:ascii="新細明體" w:hAnsi="新細明體"/>
          <w:b/>
          <w:i/>
        </w:rPr>
        <w:t>V</w:t>
      </w:r>
      <w:r w:rsidRPr="004315B7">
        <w:rPr>
          <w:rFonts w:ascii="新細明體" w:hAnsi="新細明體" w:hint="eastAsia"/>
        </w:rPr>
        <w:t>為市場資產收益的共變數共異數矩陣，且為</w:t>
      </w:r>
      <w:r w:rsidRPr="004315B7">
        <w:rPr>
          <w:rFonts w:ascii="新細明體" w:hAnsi="新細明體"/>
        </w:rPr>
        <w:t>4x4</w:t>
      </w:r>
      <w:r w:rsidRPr="004315B7">
        <w:rPr>
          <w:rFonts w:ascii="新細明體" w:hAnsi="新細明體" w:hint="eastAsia"/>
        </w:rPr>
        <w:t>的矩陣，即</w:t>
      </w:r>
      <w:r w:rsidRPr="004315B7">
        <w:rPr>
          <w:rFonts w:ascii="新細明體" w:hAnsi="新細明體"/>
          <w:b/>
          <w:i/>
        </w:rPr>
        <w:t>V</w:t>
      </w:r>
      <w:r w:rsidRPr="004315B7">
        <w:rPr>
          <w:rFonts w:ascii="新細明體" w:hAnsi="新細明體"/>
        </w:rPr>
        <w:t xml:space="preserve"> = (cov(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71" type="#_x0000_t75" style="width:10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C67A6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2C67A6&quot;&gt;&lt;m:oMathPara&gt;&lt;m:oMath&gt;&lt;m:sSub&gt;&lt;m:sSubPr&gt;&lt;m:ctrlPr&gt;&lt;w:rPr&gt;&lt;w:rFonts w:ascii=&quot;Cambria Math&quot; w:fareast=&quot;">
            <v:imagedata r:id="rId29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72" type="#_x0000_t75" style="width:10.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C67A6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2C67A6&quot;&gt;&lt;m:oMathPara&gt;&lt;m:oMath&gt;&lt;m:sSub&gt;&lt;m:sSubPr&gt;&lt;m:ctrlPr&gt;&lt;w:rPr&gt;&lt;w:rFonts w:ascii=&quot;Cambria Math&quot; w:fareast=&quot;">
            <v:imagedata r:id="rId29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/>
        </w:rPr>
        <w:t>,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73" type="#_x0000_t75" style="width:10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54B41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54B41&quot;&gt;&lt;m:oMathPara&gt;&lt;m:oMath&gt;&lt;m:sSub&gt;&lt;m:sSubPr&gt;&lt;m:ctrlPr&gt;&lt;w:rPr&gt;&lt;w:rFonts w:ascii=&quot;Cambria Math&quot; w:fareast=&quot;">
            <v:imagedata r:id="rId3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74" type="#_x0000_t75" style="width:10.5pt;height:16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54B41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654B41&quot;&gt;&lt;m:oMathPara&gt;&lt;m:oMath&gt;&lt;m:sSub&gt;&lt;m:sSubPr&gt;&lt;m:ctrlPr&gt;&lt;w:rPr&gt;&lt;w:rFonts w:ascii=&quot;Cambria Math&quot; w:fareast=&quot;">
            <v:imagedata r:id="rId3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75" type="#_x0000_t75" style="width:5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C7CF1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9C7CF1&quot;&gt;&lt;m:oMathPara&gt;&lt;m:oMath&gt;&lt;m:sSub&gt;&lt;m:sSubPr&gt;&lt;m:ctrlPr&gt;&lt;w:rPr&gt;&lt;w:rFonts w:ascii=&quot;Cambria Math&quot; w:fareast=&quot;">
            <v:imagedata r:id="rId4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76" type="#_x0000_t75" style="width:5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C7CF1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9C7CF1&quot;&gt;&lt;m:oMathPara&gt;&lt;m:oMath&gt;&lt;m:sSub&gt;&lt;m:sSubPr&gt;&lt;m:ctrlPr&gt;&lt;w:rPr&gt;&lt;w:rFonts w:ascii=&quot;Cambria Math&quot; w:fareast=&quot;">
            <v:imagedata r:id="rId46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 w:hint="eastAsia"/>
        </w:rPr>
        <w:t>。</w:t>
      </w:r>
    </w:p>
    <w:p w:rsidR="00F52258" w:rsidRPr="008C5A5A" w:rsidRDefault="00F52258" w:rsidP="008C5A5A">
      <w:pPr>
        <w:spacing w:line="360" w:lineRule="auto"/>
        <w:rPr>
          <w:rStyle w:val="apple-style-span"/>
          <w:rFonts w:ascii="Segoe UI" w:hAnsi="Segoe UI" w:cs="Segoe UI"/>
          <w:lang w:eastAsia="zh-CN"/>
        </w:rPr>
      </w:pPr>
      <w:r w:rsidRPr="004315B7">
        <w:rPr>
          <w:rFonts w:ascii="新細明體" w:hAnsi="新細明體" w:hint="eastAsia"/>
        </w:rPr>
        <w:t>得到最適投資組合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77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2E90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22E90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78" type="#_x0000_t75" style="width:14.25pt;height:14.2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2E90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322E90&quot;&gt;&lt;m:oMathPara&gt;&lt;m:oMath&gt;&lt;m:r&gt;&lt;m:rPr&gt;&lt;m:sty m:val=&quot;p&quot;/&gt;&lt;/m:rPr&gt;&lt;w:rPr&gt;&lt;w:rFonts w:ascii=&quot;Cambria Math&quot; w:fareast=&quot;">
            <v:imagedata r:id="rId1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79" type="#_x0000_t75" style="width:261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66E04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66E04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-&lt;/m:t&gt;&lt;/m:r&gt;&lt;m:sSub&gt;&lt;m:sSubPr&gt;&lt;m:ctrlPr&gt;&lt;w:rPr&gt;&lt;w:rFonts w:ascii=&quot;Cambria Math&quot; w:fareast=&quot;">
            <v:imagedata r:id="rId47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80" type="#_x0000_t75" style="width:261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66E04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D66E04&quot;&gt;&lt;m:oMathPara&gt;&lt;m:oMath&gt;&lt;m:r&gt;&lt;m:rPr&gt;&lt;m:sty m:val=&quot;p&quot;/&gt;&lt;/m:rPr&gt;&lt;w:rPr&gt;&lt;w:rFonts w:ascii=&quot;Cambria Math&quot; w:h-ansi=&quot;Cambria Math&quot;/&gt;&lt;wx:font wx:val=&quot;Cambria Math&quot;/&gt;&lt;/w:rPr&gt;&lt;m:t&gt;-&lt;/m:t&gt;&lt;/m:r&gt;&lt;m:sSub&gt;&lt;m:sSubPr&gt;&lt;m:ctrlPr&gt;&lt;w:rPr&gt;&lt;w:rFonts w:ascii=&quot;Cambria Math&quot; w:fareast=&quot;">
            <v:imagedata r:id="rId47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4315B7">
        <w:rPr>
          <w:rFonts w:ascii="新細明體" w:hAnsi="新細明體" w:hint="eastAsia"/>
        </w:rPr>
        <w:t>之後，我們將套用於下一期的資料，算出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收益，例如從西元</w:t>
      </w:r>
      <w:r w:rsidRPr="004315B7">
        <w:rPr>
          <w:rFonts w:ascii="新細明體" w:hAnsi="新細明體"/>
        </w:rPr>
        <w:t>1995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</w:t>
      </w:r>
      <w:r w:rsidRPr="004315B7">
        <w:rPr>
          <w:rFonts w:ascii="新細明體" w:hAnsi="新細明體" w:hint="eastAsia"/>
        </w:rPr>
        <w:t>月到</w:t>
      </w:r>
      <w:r w:rsidRPr="004315B7">
        <w:rPr>
          <w:rFonts w:ascii="新細明體" w:hAnsi="新細明體"/>
        </w:rPr>
        <w:t>1999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12</w:t>
      </w:r>
      <w:r w:rsidRPr="004315B7">
        <w:rPr>
          <w:rFonts w:ascii="新細明體" w:hAnsi="新細明體" w:hint="eastAsia"/>
        </w:rPr>
        <w:t>月共</w:t>
      </w:r>
      <w:r w:rsidRPr="004315B7">
        <w:rPr>
          <w:rFonts w:ascii="新細明體" w:hAnsi="新細明體"/>
        </w:rPr>
        <w:t>60</w:t>
      </w:r>
      <w:r w:rsidRPr="004315B7">
        <w:rPr>
          <w:rFonts w:ascii="新細明體" w:hAnsi="新細明體" w:hint="eastAsia"/>
        </w:rPr>
        <w:t>筆資料，算出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81" type="#_x0000_t75" style="width:17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0E77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E00E77&quot;&gt;&lt;m:oMathPara&gt;&lt;m:oMath&gt;&lt;m:sSup&gt;&lt;m:sSupPr&gt;&lt;m:ctrlPr&gt;&lt;w:rPr&gt;&lt;w:rFonts w:ascii=&quot;Cambria Math&quot; w:fareast=&quot;">
            <v:imagedata r:id="rId48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82" type="#_x0000_t75" style="width:17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0E77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E00E77&quot;&gt;&lt;m:oMathPara&gt;&lt;m:oMath&gt;&lt;m:sSup&gt;&lt;m:sSupPr&gt;&lt;m:ctrlPr&gt;&lt;w:rPr&gt;&lt;w:rFonts w:ascii=&quot;Cambria Math&quot; w:fareast=&quot;">
            <v:imagedata r:id="rId48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=()</w:t>
      </w:r>
      <w:r w:rsidRPr="004315B7">
        <w:rPr>
          <w:rFonts w:ascii="新細明體" w:hAnsi="新細明體" w:hint="eastAsia"/>
        </w:rPr>
        <w:t>，再將西元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</w:t>
      </w:r>
      <w:r w:rsidRPr="004315B7">
        <w:rPr>
          <w:rFonts w:ascii="新細明體" w:hAnsi="新細明體" w:hint="eastAsia"/>
        </w:rPr>
        <w:t>月的資料中，計算出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</w:t>
      </w:r>
      <w:r w:rsidRPr="004315B7">
        <w:rPr>
          <w:rFonts w:ascii="新細明體" w:hAnsi="新細明體" w:hint="eastAsia"/>
        </w:rPr>
        <w:t>月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收益；從西元</w:t>
      </w:r>
      <w:r w:rsidRPr="004315B7">
        <w:rPr>
          <w:rFonts w:ascii="新細明體" w:hAnsi="新細明體"/>
        </w:rPr>
        <w:t>1995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2</w:t>
      </w:r>
      <w:r w:rsidRPr="004315B7">
        <w:rPr>
          <w:rFonts w:ascii="新細明體" w:hAnsi="新細明體" w:hint="eastAsia"/>
        </w:rPr>
        <w:t>月到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</w:t>
      </w:r>
      <w:r w:rsidRPr="004315B7">
        <w:rPr>
          <w:rFonts w:ascii="新細明體" w:hAnsi="新細明體" w:hint="eastAsia"/>
        </w:rPr>
        <w:t>月共</w:t>
      </w:r>
      <w:r w:rsidRPr="004315B7">
        <w:rPr>
          <w:rFonts w:ascii="新細明體" w:hAnsi="新細明體"/>
        </w:rPr>
        <w:t>60</w:t>
      </w:r>
      <w:r w:rsidRPr="004315B7">
        <w:rPr>
          <w:rFonts w:ascii="新細明體" w:hAnsi="新細明體" w:hint="eastAsia"/>
        </w:rPr>
        <w:t>筆資料，算出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83" type="#_x0000_t75" style="width:17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02E4E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02E4E&quot;&gt;&lt;m:oMathPara&gt;&lt;m:oMath&gt;&lt;m:sSup&gt;&lt;m:sSupPr&gt;&lt;m:ctrlPr&gt;&lt;w:rPr&gt;&lt;w:rFonts w:ascii=&quot;Cambria Math&quot; w:fareast=&quot;">
            <v:imagedata r:id="rId49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84" type="#_x0000_t75" style="width:17.2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02E4E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402E4E&quot;&gt;&lt;m:oMathPara&gt;&lt;m:oMath&gt;&lt;m:sSup&gt;&lt;m:sSupPr&gt;&lt;m:ctrlPr&gt;&lt;w:rPr&gt;&lt;w:rFonts w:ascii=&quot;Cambria Math&quot; w:fareast=&quot;">
            <v:imagedata r:id="rId49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=()</w:t>
      </w:r>
      <w:r w:rsidRPr="004315B7">
        <w:rPr>
          <w:rFonts w:ascii="新細明體" w:hAnsi="新細明體" w:hint="eastAsia"/>
        </w:rPr>
        <w:t>，再將西元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2</w:t>
      </w:r>
      <w:r w:rsidRPr="004315B7">
        <w:rPr>
          <w:rFonts w:ascii="新細明體" w:hAnsi="新細明體" w:hint="eastAsia"/>
        </w:rPr>
        <w:t>月的資料中，計算出</w:t>
      </w:r>
      <w:r w:rsidRPr="004315B7">
        <w:rPr>
          <w:rFonts w:ascii="新細明體" w:hAnsi="新細明體"/>
        </w:rPr>
        <w:t>2000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2</w:t>
      </w:r>
      <w:r w:rsidRPr="004315B7">
        <w:rPr>
          <w:rFonts w:ascii="新細明體" w:hAnsi="新細明體" w:hint="eastAsia"/>
        </w:rPr>
        <w:t>月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收益，以此類推，一直計算出西元</w:t>
      </w:r>
      <w:r w:rsidRPr="004315B7">
        <w:rPr>
          <w:rFonts w:ascii="新細明體" w:hAnsi="新細明體"/>
        </w:rPr>
        <w:t>2004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12</w:t>
      </w:r>
      <w:r w:rsidRPr="004315B7">
        <w:rPr>
          <w:rFonts w:ascii="新細明體" w:hAnsi="新細明體" w:hint="eastAsia"/>
        </w:rPr>
        <w:t>月到</w:t>
      </w:r>
      <w:r w:rsidRPr="004315B7">
        <w:rPr>
          <w:rFonts w:ascii="新細明體" w:hAnsi="新細明體"/>
        </w:rPr>
        <w:t>2009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11</w:t>
      </w:r>
      <w:r w:rsidRPr="004315B7">
        <w:rPr>
          <w:rFonts w:ascii="新細明體" w:hAnsi="新細明體" w:hint="eastAsia"/>
        </w:rPr>
        <w:t>月的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85" type="#_x0000_t75" style="width:27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A7CEE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7A7CEE&quot;&gt;&lt;m:oMathPara&gt;&lt;m:oMath&gt;&lt;m:sSup&gt;&lt;m:sSupPr&gt;&lt;m:ctrlPr&gt;&lt;w:rPr&gt;&lt;w:rFonts w:ascii=&quot;Cambria Math&quot; w:fareast=&quot;">
            <v:imagedata r:id="rId50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86" type="#_x0000_t75" style="width:27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A7CEE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7A7CEE&quot;&gt;&lt;m:oMathPara&gt;&lt;m:oMath&gt;&lt;m:sSup&gt;&lt;m:sSupPr&gt;&lt;m:ctrlPr&gt;&lt;w:rPr&gt;&lt;w:rFonts w:ascii=&quot;Cambria Math&quot; w:fareast=&quot;">
            <v:imagedata r:id="rId50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=()</w:t>
      </w:r>
      <w:r w:rsidRPr="004315B7">
        <w:rPr>
          <w:rFonts w:ascii="新細明體" w:hAnsi="新細明體" w:hint="eastAsia"/>
        </w:rPr>
        <w:t>，再將西元</w:t>
      </w:r>
      <w:r w:rsidRPr="004315B7">
        <w:rPr>
          <w:rFonts w:ascii="新細明體" w:hAnsi="新細明體"/>
        </w:rPr>
        <w:t>2009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12</w:t>
      </w:r>
      <w:r w:rsidRPr="004315B7">
        <w:rPr>
          <w:rFonts w:ascii="新細明體" w:hAnsi="新細明體" w:hint="eastAsia"/>
        </w:rPr>
        <w:t>月的資料中，計算出</w:t>
      </w:r>
      <w:r w:rsidRPr="004315B7">
        <w:rPr>
          <w:rFonts w:ascii="新細明體" w:hAnsi="新細明體"/>
        </w:rPr>
        <w:t>2009</w:t>
      </w:r>
      <w:r w:rsidRPr="004315B7">
        <w:rPr>
          <w:rFonts w:ascii="新細明體" w:hAnsi="新細明體" w:hint="eastAsia"/>
        </w:rPr>
        <w:t>年</w:t>
      </w:r>
      <w:r w:rsidRPr="004315B7">
        <w:rPr>
          <w:rFonts w:ascii="新細明體" w:hAnsi="新細明體"/>
        </w:rPr>
        <w:t>12</w:t>
      </w:r>
      <w:r w:rsidRPr="004315B7">
        <w:rPr>
          <w:rFonts w:ascii="新細明體" w:hAnsi="新細明體" w:hint="eastAsia"/>
        </w:rPr>
        <w:t>月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收益。我們將此</w:t>
      </w:r>
      <w:r w:rsidRPr="004315B7">
        <w:rPr>
          <w:rFonts w:ascii="新細明體" w:hAnsi="新細明體"/>
        </w:rPr>
        <w:t>120</w:t>
      </w:r>
      <w:r w:rsidRPr="004315B7">
        <w:rPr>
          <w:rFonts w:ascii="新細明體" w:hAnsi="新細明體" w:hint="eastAsia"/>
        </w:rPr>
        <w:t>筆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Fonts w:ascii="新細明體" w:hAnsi="新細明體" w:hint="eastAsia"/>
        </w:rPr>
        <w:t>收益彙整，計算出</w:t>
      </w:r>
      <w:r w:rsidRPr="004315B7">
        <w:rPr>
          <w:rStyle w:val="apple-style-span"/>
          <w:rFonts w:ascii="Segoe UI" w:hAnsi="Segoe UI" w:cs="Segoe UI" w:hint="eastAsia"/>
        </w:rPr>
        <w:t>此資料數列的均值方差效率，即期望值與標準差的比值。我們比較</w:t>
      </w:r>
      <w:r>
        <w:rPr>
          <w:rStyle w:val="apple-style-span"/>
          <w:rFonts w:hint="eastAsia"/>
        </w:rPr>
        <w:t>均值方差分析</w:t>
      </w:r>
      <w:r w:rsidRPr="004315B7">
        <w:rPr>
          <w:rStyle w:val="apple-style-span"/>
          <w:rFonts w:ascii="新細明體" w:hAnsi="新細明體" w:cs="Arial" w:hint="eastAsia"/>
        </w:rPr>
        <w:t>和</w:t>
      </w:r>
      <w:r>
        <w:rPr>
          <w:rStyle w:val="apple-style-span"/>
          <w:rFonts w:hint="eastAsia"/>
        </w:rPr>
        <w:t>等權重下</w:t>
      </w:r>
      <w:r w:rsidRPr="004315B7">
        <w:rPr>
          <w:rStyle w:val="apple-style-span"/>
          <w:rFonts w:ascii="新細明體" w:hAnsi="新細明體" w:cs="Arial" w:hint="eastAsia"/>
        </w:rPr>
        <w:t>的</w:t>
      </w:r>
      <w:r w:rsidRPr="004315B7">
        <w:rPr>
          <w:rStyle w:val="apple-style-span"/>
          <w:rFonts w:ascii="Segoe UI" w:hAnsi="Segoe UI" w:cs="Segoe UI" w:hint="eastAsia"/>
        </w:rPr>
        <w:t>均值方差效率，高者較好。</w:t>
      </w:r>
    </w:p>
    <w:p w:rsidR="00F52258" w:rsidRPr="008C5A5A" w:rsidRDefault="00F52258">
      <w:pPr>
        <w:widowControl/>
        <w:rPr>
          <w:rStyle w:val="apple-style-span"/>
          <w:rFonts w:ascii="Segoe UI" w:hAnsi="Segoe UI" w:cs="Segoe UI"/>
          <w:lang w:eastAsia="zh-CN"/>
        </w:rPr>
      </w:pPr>
      <w:r w:rsidRPr="008C5A5A">
        <w:rPr>
          <w:rStyle w:val="apple-style-span"/>
          <w:rFonts w:ascii="Segoe UI" w:hAnsi="Segoe UI" w:cs="Segoe UI"/>
          <w:lang w:eastAsia="zh-CN"/>
        </w:rPr>
        <w:br w:type="page"/>
      </w:r>
    </w:p>
    <w:p w:rsidR="00F52258" w:rsidRDefault="00F52258" w:rsidP="008342CD">
      <w:pPr>
        <w:pStyle w:val="Heading1"/>
        <w:numPr>
          <w:ilvl w:val="0"/>
          <w:numId w:val="2"/>
        </w:numPr>
        <w:jc w:val="center"/>
        <w:rPr>
          <w:rFonts w:ascii="新細明體"/>
          <w:b w:val="0"/>
          <w:sz w:val="32"/>
          <w:szCs w:val="32"/>
        </w:rPr>
      </w:pPr>
      <w:r w:rsidRPr="004315B7">
        <w:rPr>
          <w:rFonts w:ascii="新細明體" w:hAnsi="新細明體" w:hint="eastAsia"/>
          <w:b w:val="0"/>
          <w:sz w:val="32"/>
          <w:szCs w:val="32"/>
        </w:rPr>
        <w:t>實證結果分析</w:t>
      </w:r>
    </w:p>
    <w:p w:rsidR="00F52258" w:rsidRPr="002F7319" w:rsidRDefault="00F52258" w:rsidP="002F7319">
      <w:pPr>
        <w:pStyle w:val="Heading2"/>
        <w:jc w:val="center"/>
        <w:rPr>
          <w:rFonts w:ascii="新細明體"/>
          <w:b w:val="0"/>
          <w:sz w:val="28"/>
          <w:szCs w:val="28"/>
        </w:rPr>
      </w:pPr>
      <w:r w:rsidRPr="004315B7">
        <w:rPr>
          <w:rFonts w:ascii="新細明體" w:hAnsi="新細明體" w:hint="eastAsia"/>
          <w:b w:val="0"/>
          <w:sz w:val="28"/>
          <w:szCs w:val="28"/>
        </w:rPr>
        <w:t>第一節</w:t>
      </w:r>
      <w:r w:rsidRPr="004315B7">
        <w:rPr>
          <w:rFonts w:ascii="新細明體" w:hAnsi="新細明體"/>
          <w:b w:val="0"/>
          <w:sz w:val="28"/>
          <w:szCs w:val="28"/>
        </w:rPr>
        <w:t xml:space="preserve"> </w:t>
      </w:r>
      <w:r>
        <w:rPr>
          <w:rFonts w:ascii="新細明體" w:hAnsi="新細明體" w:hint="eastAsia"/>
          <w:b w:val="0"/>
          <w:sz w:val="28"/>
          <w:szCs w:val="28"/>
        </w:rPr>
        <w:t>資料來源</w:t>
      </w:r>
    </w:p>
    <w:p w:rsidR="00F52258" w:rsidRPr="002F7319" w:rsidRDefault="00F52258" w:rsidP="009460D8">
      <w:pPr>
        <w:spacing w:line="360" w:lineRule="auto"/>
        <w:ind w:firstLineChars="200" w:firstLine="31680"/>
        <w:rPr>
          <w:rStyle w:val="apple-style-span"/>
          <w:rFonts w:ascii="新細明體" w:cs="Arial"/>
          <w:lang w:eastAsia="zh-CN"/>
        </w:rPr>
      </w:pPr>
      <w:r w:rsidRPr="002F7319">
        <w:rPr>
          <w:rStyle w:val="apple-style-span"/>
          <w:rFonts w:ascii="新細明體" w:hAnsi="新細明體" w:cs="Arial" w:hint="eastAsia"/>
        </w:rPr>
        <w:t>本研究使用</w:t>
      </w:r>
      <w:r w:rsidRPr="004315B7">
        <w:rPr>
          <w:rStyle w:val="apple-style-span"/>
        </w:rPr>
        <w:t>Fama-French</w:t>
      </w:r>
      <w:r w:rsidRPr="002F7319">
        <w:rPr>
          <w:rStyle w:val="apple-style-span"/>
          <w:rFonts w:ascii="新細明體" w:hAnsi="新細明體" w:cs="Arial" w:hint="eastAsia"/>
        </w:rPr>
        <w:t>四種</w:t>
      </w:r>
      <w:r>
        <w:rPr>
          <w:rStyle w:val="apple-style-span"/>
          <w:rFonts w:ascii="新細明體" w:hAnsi="新細明體" w:cs="Arial" w:hint="eastAsia"/>
        </w:rPr>
        <w:t>資產</w:t>
      </w:r>
      <w:r w:rsidRPr="002F7319">
        <w:rPr>
          <w:rStyle w:val="apple-style-span"/>
          <w:rFonts w:ascii="新細明體" w:hAnsi="新細明體" w:cs="Arial" w:hint="eastAsia"/>
        </w:rPr>
        <w:t>月平均投資收益：</w:t>
      </w:r>
      <w:r w:rsidRPr="004315B7">
        <w:rPr>
          <w:rStyle w:val="apple-style-span"/>
        </w:rPr>
        <w:t>Cnsmr</w:t>
      </w:r>
      <w:r w:rsidRPr="002F7319">
        <w:rPr>
          <w:rStyle w:val="apple-style-span"/>
          <w:rFonts w:ascii="新細明體" w:hAnsi="新細明體" w:cs="Arial" w:hint="eastAsia"/>
          <w:color w:val="2A2A2A"/>
        </w:rPr>
        <w:t>（包括</w:t>
      </w:r>
      <w:r w:rsidRPr="002F7319">
        <w:rPr>
          <w:rStyle w:val="apple-style-span"/>
          <w:rFonts w:ascii="Arial" w:hAnsi="Arial" w:cs="Arial" w:hint="eastAsia"/>
          <w:color w:val="000000"/>
        </w:rPr>
        <w:t>耐用消費品、非耐久財、批發、零售、服務等等</w:t>
      </w:r>
      <w:r w:rsidRPr="002F7319">
        <w:rPr>
          <w:rStyle w:val="apple-style-span"/>
          <w:rFonts w:ascii="新細明體" w:hAnsi="新細明體" w:cs="Arial" w:hint="eastAsia"/>
          <w:color w:val="2A2A2A"/>
        </w:rPr>
        <w:t>）、</w:t>
      </w:r>
      <w:r w:rsidRPr="002F7319">
        <w:rPr>
          <w:color w:val="000000"/>
          <w:kern w:val="0"/>
        </w:rPr>
        <w:t>Manuf</w:t>
      </w:r>
      <w:r w:rsidRPr="002F7319">
        <w:rPr>
          <w:rFonts w:ascii="新細明體" w:hAnsi="新細明體" w:cs="新細明體" w:hint="eastAsia"/>
          <w:color w:val="000000"/>
          <w:kern w:val="0"/>
        </w:rPr>
        <w:t>（包括製造業、能源、公共事業等）</w:t>
      </w:r>
      <w:r w:rsidRPr="002F7319">
        <w:rPr>
          <w:rFonts w:ascii="新細明體" w:hAnsi="新細明體" w:cs="新細明體" w:hint="eastAsia"/>
          <w:kern w:val="0"/>
        </w:rPr>
        <w:t>、</w:t>
      </w:r>
      <w:r w:rsidRPr="002F7319">
        <w:rPr>
          <w:kern w:val="0"/>
        </w:rPr>
        <w:t>HiTec</w:t>
      </w:r>
      <w:r w:rsidRPr="002F7319">
        <w:rPr>
          <w:rFonts w:ascii="新細明體" w:hAnsi="新細明體" w:cs="新細明體" w:hint="eastAsia"/>
          <w:kern w:val="0"/>
        </w:rPr>
        <w:t>（包括商業設施、電話、電視傳輸）、</w:t>
      </w:r>
      <w:r w:rsidRPr="002F7319">
        <w:rPr>
          <w:kern w:val="0"/>
        </w:rPr>
        <w:t>Hlth</w:t>
      </w:r>
      <w:r w:rsidRPr="002F7319">
        <w:rPr>
          <w:rFonts w:ascii="新細明體" w:hAnsi="新細明體" w:cs="新細明體" w:hint="eastAsia"/>
          <w:kern w:val="0"/>
        </w:rPr>
        <w:t>（醫療保健、醫療設施、</w:t>
      </w:r>
      <w:r w:rsidRPr="002F7319">
        <w:rPr>
          <w:rStyle w:val="apple-style-span"/>
          <w:rFonts w:ascii="Arial" w:hAnsi="Arial" w:cs="Arial" w:hint="eastAsia"/>
        </w:rPr>
        <w:t>藥廠或藥商擁有之股票、證券等</w:t>
      </w:r>
      <w:r w:rsidRPr="002F7319">
        <w:rPr>
          <w:rFonts w:ascii="新細明體" w:hAnsi="新細明體" w:cs="新細明體" w:hint="eastAsia"/>
          <w:kern w:val="0"/>
        </w:rPr>
        <w:t>），細節請參見</w:t>
      </w:r>
      <w:hyperlink r:id="rId51" w:history="1">
        <w:r w:rsidRPr="002F7319">
          <w:rPr>
            <w:rStyle w:val="Hyperlink"/>
            <w:color w:val="auto"/>
            <w:u w:val="none"/>
          </w:rPr>
          <w:t>http://mba.tuck.dartmouth.edu/pages/faculty/ken.french/data_library.html</w:t>
        </w:r>
        <w:r w:rsidRPr="002F7319">
          <w:rPr>
            <w:rStyle w:val="Hyperlink"/>
            <w:rFonts w:ascii="新細明體" w:hAnsi="新細明體" w:hint="eastAsia"/>
            <w:color w:val="auto"/>
            <w:u w:val="none"/>
          </w:rPr>
          <w:t>。本研究的資料起於西元</w:t>
        </w:r>
        <w:r w:rsidRPr="002F7319">
          <w:rPr>
            <w:rStyle w:val="Hyperlink"/>
            <w:rFonts w:ascii="新細明體" w:hAnsi="新細明體"/>
            <w:color w:val="auto"/>
            <w:u w:val="none"/>
          </w:rPr>
          <w:t>1995</w:t>
        </w:r>
        <w:r w:rsidRPr="002F7319">
          <w:rPr>
            <w:rStyle w:val="Hyperlink"/>
            <w:rFonts w:hint="eastAsia"/>
            <w:color w:val="auto"/>
            <w:u w:val="none"/>
          </w:rPr>
          <w:t>年</w:t>
        </w:r>
        <w:r w:rsidRPr="002F7319">
          <w:rPr>
            <w:rStyle w:val="Hyperlink"/>
            <w:color w:val="auto"/>
            <w:u w:val="none"/>
          </w:rPr>
          <w:t>1</w:t>
        </w:r>
        <w:r w:rsidRPr="002F7319">
          <w:rPr>
            <w:rStyle w:val="Hyperlink"/>
            <w:rFonts w:hint="eastAsia"/>
            <w:color w:val="auto"/>
            <w:u w:val="none"/>
          </w:rPr>
          <w:t>月至</w:t>
        </w:r>
        <w:r w:rsidRPr="002F7319">
          <w:rPr>
            <w:rStyle w:val="Hyperlink"/>
            <w:color w:val="auto"/>
            <w:u w:val="none"/>
          </w:rPr>
          <w:t>2009</w:t>
        </w:r>
        <w:r w:rsidRPr="002F7319">
          <w:rPr>
            <w:rStyle w:val="Hyperlink"/>
            <w:rFonts w:hint="eastAsia"/>
            <w:color w:val="auto"/>
            <w:u w:val="none"/>
          </w:rPr>
          <w:t>年</w:t>
        </w:r>
        <w:r w:rsidRPr="002F7319">
          <w:rPr>
            <w:rStyle w:val="Hyperlink"/>
            <w:color w:val="auto"/>
            <w:u w:val="none"/>
          </w:rPr>
          <w:t>12</w:t>
        </w:r>
      </w:hyperlink>
      <w:r w:rsidRPr="004315B7">
        <w:rPr>
          <w:rFonts w:hint="eastAsia"/>
        </w:rPr>
        <w:t>月，每一</w:t>
      </w:r>
      <w:r w:rsidRPr="002F7319">
        <w:rPr>
          <w:rFonts w:ascii="新細明體" w:hAnsi="新細明體" w:hint="eastAsia"/>
        </w:rPr>
        <w:t>種</w:t>
      </w:r>
      <w:r>
        <w:rPr>
          <w:rFonts w:ascii="新細明體" w:hAnsi="新細明體" w:hint="eastAsia"/>
        </w:rPr>
        <w:t>資產</w:t>
      </w:r>
      <w:r w:rsidRPr="004315B7">
        <w:rPr>
          <w:rFonts w:hint="eastAsia"/>
        </w:rPr>
        <w:t>分別有</w:t>
      </w:r>
      <w:r w:rsidRPr="004315B7">
        <w:t>180</w:t>
      </w:r>
      <w:r w:rsidRPr="004315B7">
        <w:rPr>
          <w:rFonts w:hint="eastAsia"/>
        </w:rPr>
        <w:t>筆</w:t>
      </w:r>
      <w:r>
        <w:rPr>
          <w:rFonts w:hint="eastAsia"/>
        </w:rPr>
        <w:t>數據</w:t>
      </w:r>
      <w:r w:rsidRPr="004315B7">
        <w:rPr>
          <w:rFonts w:hint="eastAsia"/>
        </w:rPr>
        <w:t>，表</w:t>
      </w:r>
      <w:r w:rsidRPr="004315B7">
        <w:t>1</w:t>
      </w:r>
      <w:r w:rsidRPr="004315B7">
        <w:rPr>
          <w:rFonts w:hint="eastAsia"/>
        </w:rPr>
        <w:t>為</w:t>
      </w:r>
      <w:r w:rsidRPr="002F7319">
        <w:rPr>
          <w:rStyle w:val="apple-style-span"/>
          <w:rFonts w:ascii="新細明體" w:hAnsi="新細明體" w:cs="Arial" w:hint="eastAsia"/>
        </w:rPr>
        <w:t>四種</w:t>
      </w:r>
      <w:r>
        <w:rPr>
          <w:rStyle w:val="apple-style-span"/>
          <w:rFonts w:ascii="新細明體" w:hAnsi="新細明體" w:cs="Arial" w:hint="eastAsia"/>
        </w:rPr>
        <w:t>資產</w:t>
      </w:r>
      <w:r w:rsidRPr="002F7319">
        <w:rPr>
          <w:rStyle w:val="apple-style-span"/>
          <w:rFonts w:ascii="新細明體" w:hAnsi="新細明體" w:cs="Arial" w:hint="eastAsia"/>
        </w:rPr>
        <w:t>的月平均投資收益的基本統計量，從表</w:t>
      </w:r>
      <w:r w:rsidRPr="002F7319">
        <w:rPr>
          <w:rStyle w:val="apple-style-span"/>
          <w:rFonts w:ascii="新細明體" w:hAnsi="新細明體" w:cs="Arial"/>
        </w:rPr>
        <w:t>1</w:t>
      </w:r>
      <w:r w:rsidRPr="002F7319">
        <w:rPr>
          <w:rStyle w:val="apple-style-span"/>
          <w:rFonts w:ascii="新細明體" w:hAnsi="新細明體" w:cs="Arial" w:hint="eastAsia"/>
        </w:rPr>
        <w:t>得知，平均收益大約為</w:t>
      </w:r>
      <w:r w:rsidRPr="002F7319">
        <w:rPr>
          <w:rStyle w:val="apple-style-span"/>
          <w:rFonts w:ascii="新細明體" w:hAnsi="新細明體" w:cs="Arial"/>
        </w:rPr>
        <w:t>1%</w:t>
      </w:r>
      <w:r w:rsidRPr="002F7319">
        <w:rPr>
          <w:rStyle w:val="apple-style-span"/>
          <w:rFonts w:ascii="新細明體" w:hAnsi="新細明體" w:cs="Arial" w:hint="eastAsia"/>
        </w:rPr>
        <w:t>，而標準差介於</w:t>
      </w:r>
      <w:r w:rsidRPr="002F7319">
        <w:rPr>
          <w:rStyle w:val="apple-style-span"/>
          <w:rFonts w:ascii="新細明體" w:hAnsi="新細明體" w:cs="Arial"/>
        </w:rPr>
        <w:t>4-8%</w:t>
      </w:r>
      <w:r w:rsidRPr="002F7319">
        <w:rPr>
          <w:rStyle w:val="apple-style-span"/>
          <w:rFonts w:ascii="新細明體" w:hAnsi="新細明體" w:cs="Arial" w:hint="eastAsia"/>
        </w:rPr>
        <w:t>，這表示行業間並非完全替代。</w:t>
      </w:r>
    </w:p>
    <w:p w:rsidR="00F52258" w:rsidRPr="002F7319" w:rsidRDefault="00F52258" w:rsidP="002F7319">
      <w:pPr>
        <w:spacing w:line="360" w:lineRule="auto"/>
        <w:rPr>
          <w:rStyle w:val="apple-style-span"/>
          <w:rFonts w:ascii="新細明體" w:cs="Arial"/>
        </w:rPr>
      </w:pPr>
    </w:p>
    <w:p w:rsidR="00F52258" w:rsidRPr="002F7319" w:rsidRDefault="00F52258" w:rsidP="002F7319">
      <w:pPr>
        <w:spacing w:line="360" w:lineRule="auto"/>
        <w:rPr>
          <w:rStyle w:val="apple-style-span"/>
          <w:rFonts w:ascii="新細明體" w:hAnsi="新細明體" w:cs="Arial"/>
        </w:rPr>
      </w:pPr>
      <w:r w:rsidRPr="002F7319">
        <w:rPr>
          <w:rStyle w:val="apple-style-span"/>
          <w:rFonts w:ascii="新細明體" w:hAnsi="新細明體" w:cs="Arial" w:hint="eastAsia"/>
        </w:rPr>
        <w:t>表</w:t>
      </w:r>
      <w:r w:rsidRPr="002F7319">
        <w:rPr>
          <w:rStyle w:val="apple-style-span"/>
          <w:rFonts w:ascii="新細明體" w:hAnsi="新細明體" w:cs="Arial"/>
        </w:rPr>
        <w:t>1</w:t>
      </w:r>
      <w:r w:rsidRPr="002F7319">
        <w:rPr>
          <w:rStyle w:val="apple-style-span"/>
          <w:rFonts w:ascii="新細明體" w:hAnsi="新細明體" w:cs="Arial" w:hint="eastAsia"/>
        </w:rPr>
        <w:t>基本統計量：四種資產的月平均收益</w:t>
      </w:r>
      <w:r w:rsidRPr="002F7319">
        <w:rPr>
          <w:rStyle w:val="apple-style-span"/>
          <w:rFonts w:ascii="新細明體" w:hAnsi="新細明體" w:cs="Arial"/>
        </w:rPr>
        <w:t>(%)</w:t>
      </w:r>
    </w:p>
    <w:tbl>
      <w:tblPr>
        <w:tblW w:w="7220" w:type="dxa"/>
        <w:tblInd w:w="13" w:type="dxa"/>
        <w:tblCellMar>
          <w:left w:w="28" w:type="dxa"/>
          <w:right w:w="28" w:type="dxa"/>
        </w:tblCellMar>
        <w:tblLook w:val="00A0"/>
      </w:tblPr>
      <w:tblGrid>
        <w:gridCol w:w="1080"/>
        <w:gridCol w:w="1720"/>
        <w:gridCol w:w="2020"/>
        <w:gridCol w:w="1180"/>
        <w:gridCol w:w="1220"/>
      </w:tblGrid>
      <w:tr w:rsidR="00F52258" w:rsidRPr="009D2D0D" w:rsidTr="00325083">
        <w:trPr>
          <w:trHeight w:val="345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 w:hint="eastAsia"/>
                <w:kern w:val="0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130B4F" w:rsidRDefault="00F52258" w:rsidP="00325083">
            <w:pPr>
              <w:widowControl/>
              <w:jc w:val="center"/>
              <w:rPr>
                <w:kern w:val="0"/>
              </w:rPr>
            </w:pPr>
            <w:r w:rsidRPr="004315B7">
              <w:rPr>
                <w:kern w:val="0"/>
              </w:rPr>
              <w:t>Expected return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130B4F" w:rsidRDefault="00F52258" w:rsidP="00325083">
            <w:pPr>
              <w:widowControl/>
              <w:jc w:val="center"/>
              <w:rPr>
                <w:kern w:val="0"/>
              </w:rPr>
            </w:pPr>
            <w:r w:rsidRPr="004315B7">
              <w:rPr>
                <w:kern w:val="0"/>
              </w:rPr>
              <w:t>Standard deviation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130B4F" w:rsidRDefault="00F52258" w:rsidP="00325083">
            <w:pPr>
              <w:widowControl/>
              <w:jc w:val="center"/>
              <w:rPr>
                <w:kern w:val="0"/>
              </w:rPr>
            </w:pPr>
            <w:r w:rsidRPr="004315B7">
              <w:rPr>
                <w:kern w:val="0"/>
              </w:rPr>
              <w:t>Min return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130B4F" w:rsidRDefault="00F52258" w:rsidP="00325083">
            <w:pPr>
              <w:widowControl/>
              <w:jc w:val="center"/>
              <w:rPr>
                <w:kern w:val="0"/>
              </w:rPr>
            </w:pPr>
            <w:r w:rsidRPr="004315B7">
              <w:rPr>
                <w:kern w:val="0"/>
              </w:rPr>
              <w:t>Max return</w:t>
            </w:r>
          </w:p>
        </w:tc>
      </w:tr>
      <w:tr w:rsidR="00F52258" w:rsidRPr="009D2D0D" w:rsidTr="0032508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130B4F" w:rsidRDefault="00F52258" w:rsidP="00325083">
            <w:pPr>
              <w:widowControl/>
              <w:rPr>
                <w:kern w:val="0"/>
              </w:rPr>
            </w:pPr>
            <w:r w:rsidRPr="004315B7">
              <w:rPr>
                <w:kern w:val="0"/>
              </w:rPr>
              <w:t>Cnsmr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0.796277778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4.104066934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11.09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-15.34</w:t>
            </w:r>
          </w:p>
        </w:tc>
      </w:tr>
      <w:tr w:rsidR="00F52258" w:rsidRPr="009D2D0D" w:rsidTr="0032508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130B4F" w:rsidRDefault="00F52258" w:rsidP="00325083">
            <w:pPr>
              <w:widowControl/>
              <w:rPr>
                <w:kern w:val="0"/>
              </w:rPr>
            </w:pPr>
            <w:r w:rsidRPr="004315B7">
              <w:rPr>
                <w:kern w:val="0"/>
              </w:rPr>
              <w:t>Manuf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0.988888889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4.4464933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10.44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-17.9</w:t>
            </w:r>
          </w:p>
        </w:tc>
      </w:tr>
      <w:tr w:rsidR="00F52258" w:rsidRPr="009D2D0D" w:rsidTr="0032508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130B4F" w:rsidRDefault="00F52258" w:rsidP="00325083">
            <w:pPr>
              <w:widowControl/>
              <w:rPr>
                <w:kern w:val="0"/>
              </w:rPr>
            </w:pPr>
            <w:r w:rsidRPr="004315B7">
              <w:rPr>
                <w:kern w:val="0"/>
              </w:rPr>
              <w:t>HiTec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0.860888889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7.315791925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20.23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-22.79</w:t>
            </w:r>
          </w:p>
        </w:tc>
      </w:tr>
      <w:tr w:rsidR="00F52258" w:rsidRPr="009D2D0D" w:rsidTr="00325083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130B4F" w:rsidRDefault="00F52258" w:rsidP="00325083">
            <w:pPr>
              <w:widowControl/>
              <w:rPr>
                <w:kern w:val="0"/>
              </w:rPr>
            </w:pPr>
            <w:r w:rsidRPr="004315B7">
              <w:rPr>
                <w:kern w:val="0"/>
              </w:rPr>
              <w:t>Hlth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0.944166667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4.416807902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12.04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D2D0D" w:rsidRDefault="00F52258" w:rsidP="00325083">
            <w:pPr>
              <w:widowControl/>
              <w:jc w:val="center"/>
              <w:rPr>
                <w:rFonts w:ascii="新細明體" w:cs="新細明體"/>
                <w:kern w:val="0"/>
              </w:rPr>
            </w:pPr>
            <w:r w:rsidRPr="004315B7">
              <w:rPr>
                <w:rFonts w:ascii="新細明體" w:hAnsi="新細明體" w:cs="新細明體"/>
                <w:kern w:val="0"/>
              </w:rPr>
              <w:t>-12.36</w:t>
            </w:r>
          </w:p>
        </w:tc>
      </w:tr>
    </w:tbl>
    <w:p w:rsidR="00F52258" w:rsidRDefault="00F52258" w:rsidP="002F7319"/>
    <w:p w:rsidR="00F52258" w:rsidRDefault="00F52258">
      <w:pPr>
        <w:widowControl/>
      </w:pPr>
      <w:r>
        <w:br w:type="page"/>
      </w:r>
    </w:p>
    <w:p w:rsidR="00F52258" w:rsidRPr="00A1747E" w:rsidRDefault="00F52258" w:rsidP="00A1747E">
      <w:pPr>
        <w:pStyle w:val="Heading2"/>
        <w:jc w:val="center"/>
        <w:rPr>
          <w:rFonts w:ascii="新細明體"/>
          <w:b w:val="0"/>
          <w:sz w:val="28"/>
          <w:szCs w:val="28"/>
        </w:rPr>
      </w:pPr>
      <w:r>
        <w:rPr>
          <w:rFonts w:ascii="新細明體" w:hAnsi="新細明體" w:hint="eastAsia"/>
          <w:b w:val="0"/>
          <w:sz w:val="28"/>
          <w:szCs w:val="28"/>
        </w:rPr>
        <w:t>第二</w:t>
      </w:r>
      <w:r w:rsidRPr="004315B7">
        <w:rPr>
          <w:rFonts w:ascii="新細明體" w:hAnsi="新細明體" w:hint="eastAsia"/>
          <w:b w:val="0"/>
          <w:sz w:val="28"/>
          <w:szCs w:val="28"/>
        </w:rPr>
        <w:t>節</w:t>
      </w:r>
      <w:r w:rsidRPr="004315B7">
        <w:rPr>
          <w:rFonts w:ascii="新細明體" w:hAnsi="新細明體"/>
          <w:b w:val="0"/>
          <w:sz w:val="28"/>
          <w:szCs w:val="28"/>
        </w:rPr>
        <w:t xml:space="preserve"> </w:t>
      </w:r>
      <w:r>
        <w:rPr>
          <w:rFonts w:ascii="新細明體" w:hAnsi="新細明體" w:hint="eastAsia"/>
          <w:b w:val="0"/>
          <w:sz w:val="28"/>
          <w:szCs w:val="28"/>
        </w:rPr>
        <w:t>實驗結果</w:t>
      </w:r>
    </w:p>
    <w:p w:rsidR="00F52258" w:rsidRPr="00892319" w:rsidRDefault="00F52258" w:rsidP="00A1747E">
      <w:pPr>
        <w:rPr>
          <w:color w:val="000000"/>
          <w:kern w:val="0"/>
        </w:rPr>
      </w:pPr>
      <w:r w:rsidRPr="004315B7">
        <w:rPr>
          <w:rFonts w:hint="eastAsia"/>
        </w:rPr>
        <w:t>表</w:t>
      </w:r>
      <w:r w:rsidRPr="004315B7">
        <w:t>2</w:t>
      </w:r>
      <w:r>
        <w:rPr>
          <w:color w:val="000000"/>
          <w:kern w:val="0"/>
        </w:rPr>
        <w:t xml:space="preserve"> </w:t>
      </w:r>
      <w:r>
        <w:rPr>
          <w:rFonts w:hint="eastAsia"/>
          <w:color w:val="000000"/>
          <w:kern w:val="0"/>
        </w:rPr>
        <w:t>均值方差分析的權數和下一期實現的</w:t>
      </w:r>
      <w:r w:rsidRPr="00915505">
        <w:rPr>
          <w:rFonts w:hint="eastAsia"/>
          <w:color w:val="000000"/>
          <w:kern w:val="0"/>
        </w:rPr>
        <w:t>收益與等權重的下一期</w:t>
      </w:r>
      <w:r>
        <w:rPr>
          <w:rFonts w:hint="eastAsia"/>
          <w:color w:val="000000"/>
          <w:kern w:val="0"/>
        </w:rPr>
        <w:t>實現的</w:t>
      </w:r>
      <w:r w:rsidRPr="00915505">
        <w:rPr>
          <w:rFonts w:hint="eastAsia"/>
          <w:color w:val="000000"/>
          <w:kern w:val="0"/>
        </w:rPr>
        <w:t>收益</w:t>
      </w:r>
    </w:p>
    <w:tbl>
      <w:tblPr>
        <w:tblW w:w="7580" w:type="dxa"/>
        <w:tblInd w:w="13" w:type="dxa"/>
        <w:tblCellMar>
          <w:left w:w="28" w:type="dxa"/>
          <w:right w:w="28" w:type="dxa"/>
        </w:tblCellMar>
        <w:tblLook w:val="00A0"/>
      </w:tblPr>
      <w:tblGrid>
        <w:gridCol w:w="1080"/>
        <w:gridCol w:w="860"/>
        <w:gridCol w:w="860"/>
        <w:gridCol w:w="860"/>
        <w:gridCol w:w="860"/>
        <w:gridCol w:w="1800"/>
        <w:gridCol w:w="1260"/>
      </w:tblGrid>
      <w:tr w:rsidR="00F52258" w:rsidRPr="00892319" w:rsidTr="00892319">
        <w:trPr>
          <w:trHeight w:val="345"/>
        </w:trPr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 w:hint="eastAsia"/>
                <w:color w:val="000000"/>
                <w:kern w:val="0"/>
              </w:rPr>
              <w:t>預估月份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w1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w2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w3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w4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 w:hint="eastAsia"/>
                <w:color w:val="000000"/>
                <w:kern w:val="0"/>
              </w:rPr>
              <w:t>均值方差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 w:hint="eastAsia"/>
                <w:color w:val="000000"/>
                <w:kern w:val="0"/>
              </w:rPr>
              <w:t>等權重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-7.88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-8.121246512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-7.635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13.23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-11.67779275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-10.385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11.09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7.613052242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7.49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-9.91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1.719750361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1.865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-10.77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3.658828919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11.07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11.57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-12.28984428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-13.19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-6.24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5.774759069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5.725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-8.893212624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-3.485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-13.03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7.543726069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5.445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-6.18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3.340235956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3.28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-21.74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7.824129244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9.12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200012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-7.32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4.079831651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7.955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15.77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7.228181261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-2.885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-22.79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9.31600153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9.375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-11.91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5.482407725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6.505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4.25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14.09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-2.509297329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-2.735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0.349709104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1.55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1.431681073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3.553291246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2.57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-11.79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4.159108853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4.355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-7.74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-9.58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-14.3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-3.654449112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-1.195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-2.259091451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-1.935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13.27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-2.644350858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-4.01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200112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5.076472819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4.78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3.944587556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3.01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-10.58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2.474633843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8.22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1.407324468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2.225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-12.12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-7.56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9.174979002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8.895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1.300955446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-0.59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-12.66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-9.68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-4.663737068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-9.61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-10.22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-10.26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-0.903815194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-4.13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0.65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-1.433237899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-1.58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-14.8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-4.420613374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-4.395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4.84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5.784687861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6.32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15.05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12.48717115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7.26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200212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-12.03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-1.855682112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-2.46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-2.431818341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-1.21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-1.27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0.852056547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-2.726948423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-2.6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9.77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3.712855463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4.25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6.79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3.96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3.106233074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1.925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0.299403181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-0.39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1.566418443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1.87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-2.81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0.674306159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-2.51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-0.589498543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-1.375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0.87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-2.404857331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-2.26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0.194236944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-0.115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200312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-0.619179175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-0.175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3.182921899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3.295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-3.279456295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-0.54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-3.492699967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-3.21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-3.85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1.199207513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0.205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2.487935649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0.71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0.226706574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-0.545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-6.74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-4.856988464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-3.385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1.64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-0.788622494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2.81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-3.376431988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-1.695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-0.121711232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-0.21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-4.24002329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-2.49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200412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5.66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3.518776437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1.96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-4.09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-4.864864129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-4.48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-6.218770739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-3.51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0.648699835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0.15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3.119407728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4.045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1.796726275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0.09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0.86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-0.57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-2.781073573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-2.455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-0.880618515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-0.49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-1.078936595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0.42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-3.125700909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-2.08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-6.08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2.073479012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0.36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1.58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0.251386993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0.8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200512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-1.83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2.39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0.676361997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-0.095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-2.251526626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-1.53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-2.53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2.019994608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1.115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-2.101213951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-1.31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-1.97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-3.286193073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-5.39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-1.459547211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-2.165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-0.95923016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-0.99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-2.38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2.310111829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1.23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2.385177946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2.98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-0.77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3.68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0.818054595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1.385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4.76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-1.55346326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-1.14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-1.101238734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-1.33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200612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-0.490954316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-0.325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2.72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1.183329443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-2.84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-2.386728015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-2.355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-0.27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-2.059715819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-1.935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-1.517086418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1.625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-2.465844074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-2.925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-0.73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cs="新細明體"/>
                <w:color w:val="000000"/>
                <w:kern w:val="0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-1.192000768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-1.985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-3.497917109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-3.08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0.542304126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0.605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3.54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-3.366150652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-2.37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1.55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-1.552048085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-1.84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-2.78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-7.26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2.891209621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3.87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200712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-1.93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-3.98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-4.820156778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-5.175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-11.08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6.023498874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5.895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-2.91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-3.59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-2.498078225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-1.465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-1.77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2.109842762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-0.645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0.44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-5.004218184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-5.23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-2.496827602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-2.725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-8.56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-2.92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-9.42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-3.01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-1.274598747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0.385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8.109995701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8.755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3.61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2.406906148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0.235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-4.88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-12.95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-12.49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2.550974677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-0.305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-15.34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-17.9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-17.74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-11.03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-0.813210124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2.235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-6.99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-8.67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-7.36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-2.416890216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-2.815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200812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2.54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6.76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-2.476121111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3.655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-6.9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-2.181738614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2.405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-5.42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-12.69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-5.47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-9.95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5.978089572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5.875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10.48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7.08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3.405456893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1.9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9.17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9.67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11.69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5.415271113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6.07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7.49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2.64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-4.582604811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-0.365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3.82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0.919875368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4.58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200907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7.71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7.75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7.65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5.46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0.452396063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-1.175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1.65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1.97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0.665088495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0.02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3.14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5.36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5.46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2.38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-2.46625323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-2.65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-0.32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-0.87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-1.96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-3.72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0.164285358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-0.605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4.89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5.31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5.22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8.21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-0.968582915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1.615</w:t>
            </w:r>
          </w:p>
        </w:tc>
      </w:tr>
      <w:tr w:rsidR="00F52258" w:rsidRPr="00892319" w:rsidTr="00892319">
        <w:trPr>
          <w:trHeight w:val="33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200912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6.03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2.47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1.490215136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892319" w:rsidRDefault="00F52258" w:rsidP="00892319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892319">
              <w:rPr>
                <w:rFonts w:ascii="新細明體" w:hAnsi="新細明體" w:cs="新細明體"/>
                <w:color w:val="000000"/>
                <w:kern w:val="0"/>
              </w:rPr>
              <w:t>1.97</w:t>
            </w:r>
          </w:p>
        </w:tc>
      </w:tr>
    </w:tbl>
    <w:p w:rsidR="00F52258" w:rsidRDefault="00F52258" w:rsidP="005B56E1">
      <w:pPr>
        <w:spacing w:line="360" w:lineRule="auto"/>
        <w:rPr>
          <w:rFonts w:ascii="Segoe UI" w:hAnsi="Segoe UI" w:cs="Segoe UI"/>
          <w:color w:val="2A2A2A"/>
        </w:rPr>
      </w:pPr>
    </w:p>
    <w:p w:rsidR="00F52258" w:rsidRDefault="00F52258" w:rsidP="005B56E1">
      <w:pPr>
        <w:spacing w:line="360" w:lineRule="auto"/>
        <w:rPr>
          <w:rFonts w:ascii="Segoe UI" w:hAnsi="Segoe UI" w:cs="Segoe UI"/>
          <w:color w:val="2A2A2A"/>
        </w:rPr>
      </w:pPr>
      <w:r w:rsidRPr="004315B7">
        <w:rPr>
          <w:rFonts w:ascii="Segoe UI" w:hAnsi="Segoe UI" w:cs="Segoe UI" w:hint="eastAsia"/>
          <w:color w:val="2A2A2A"/>
        </w:rPr>
        <w:t>表</w:t>
      </w:r>
      <w:r w:rsidRPr="004315B7">
        <w:rPr>
          <w:rFonts w:ascii="Segoe UI" w:hAnsi="Segoe UI" w:cs="Segoe UI"/>
          <w:color w:val="2A2A2A"/>
        </w:rPr>
        <w:t>3</w:t>
      </w:r>
      <w:r w:rsidRPr="004A0102">
        <w:rPr>
          <w:rFonts w:hint="eastAsia"/>
          <w:color w:val="000000"/>
          <w:kern w:val="0"/>
        </w:rPr>
        <w:t>均值方差分析</w:t>
      </w:r>
      <w:r w:rsidRPr="004315B7">
        <w:rPr>
          <w:rFonts w:hint="eastAsia"/>
          <w:color w:val="000000"/>
          <w:kern w:val="0"/>
        </w:rPr>
        <w:t>和</w:t>
      </w:r>
      <w:r w:rsidRPr="004A0102">
        <w:rPr>
          <w:rFonts w:hint="eastAsia"/>
          <w:color w:val="000000"/>
          <w:kern w:val="0"/>
        </w:rPr>
        <w:t>等權重</w:t>
      </w:r>
      <w:r w:rsidRPr="004315B7">
        <w:rPr>
          <w:rFonts w:hint="eastAsia"/>
          <w:color w:val="000000"/>
          <w:kern w:val="0"/>
        </w:rPr>
        <w:t>的</w:t>
      </w:r>
      <w:r w:rsidRPr="004315B7">
        <w:rPr>
          <w:rFonts w:ascii="新細明體" w:hAnsi="新細明體" w:cs="新細明體" w:hint="eastAsia"/>
          <w:color w:val="000000"/>
          <w:kern w:val="0"/>
        </w:rPr>
        <w:t>期望值、標準差與</w:t>
      </w:r>
      <w:r w:rsidRPr="004315B7">
        <w:rPr>
          <w:rFonts w:ascii="新細明體" w:hAnsi="新細明體" w:cs="新細明體" w:hint="eastAsia"/>
          <w:kern w:val="0"/>
        </w:rPr>
        <w:t>均值方差效</w:t>
      </w:r>
      <w:r>
        <w:rPr>
          <w:rFonts w:ascii="新細明體" w:hAnsi="新細明體" w:cs="新細明體" w:hint="eastAsia"/>
          <w:kern w:val="0"/>
        </w:rPr>
        <w:t>率</w:t>
      </w:r>
    </w:p>
    <w:tbl>
      <w:tblPr>
        <w:tblW w:w="5960" w:type="dxa"/>
        <w:tblInd w:w="13" w:type="dxa"/>
        <w:tblCellMar>
          <w:left w:w="28" w:type="dxa"/>
          <w:right w:w="28" w:type="dxa"/>
        </w:tblCellMar>
        <w:tblLook w:val="00A0"/>
      </w:tblPr>
      <w:tblGrid>
        <w:gridCol w:w="1140"/>
        <w:gridCol w:w="1620"/>
        <w:gridCol w:w="1540"/>
        <w:gridCol w:w="1660"/>
      </w:tblGrid>
      <w:tr w:rsidR="00F52258" w:rsidRPr="00975E5F" w:rsidTr="00975E5F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975E5F">
              <w:rPr>
                <w:rFonts w:ascii="新細明體" w:hAnsi="新細明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975E5F">
              <w:rPr>
                <w:rFonts w:ascii="新細明體" w:hAnsi="新細明體" w:cs="新細明體" w:hint="eastAsia"/>
                <w:color w:val="000000"/>
                <w:kern w:val="0"/>
              </w:rPr>
              <w:t>期望值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975E5F">
              <w:rPr>
                <w:rFonts w:ascii="新細明體" w:hAnsi="新細明體" w:cs="新細明體" w:hint="eastAsia"/>
                <w:color w:val="000000"/>
                <w:kern w:val="0"/>
              </w:rPr>
              <w:t>標準差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2A2A2A"/>
                <w:kern w:val="0"/>
              </w:rPr>
            </w:pPr>
            <w:r w:rsidRPr="00975E5F">
              <w:rPr>
                <w:rFonts w:ascii="新細明體" w:hAnsi="新細明體" w:cs="新細明體" w:hint="eastAsia"/>
                <w:color w:val="2A2A2A"/>
                <w:kern w:val="0"/>
              </w:rPr>
              <w:t>均值方差效率</w:t>
            </w:r>
          </w:p>
        </w:tc>
      </w:tr>
      <w:tr w:rsidR="00F52258" w:rsidRPr="00975E5F" w:rsidTr="00975E5F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</w:rPr>
              <w:t>等權重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975E5F">
              <w:rPr>
                <w:rFonts w:ascii="新細明體" w:hAnsi="新細明體" w:cs="新細明體"/>
                <w:color w:val="000000"/>
                <w:kern w:val="0"/>
              </w:rPr>
              <w:t>0.369375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975E5F">
              <w:rPr>
                <w:rFonts w:ascii="新細明體" w:hAnsi="新細明體" w:cs="新細明體"/>
                <w:color w:val="000000"/>
                <w:kern w:val="0"/>
              </w:rPr>
              <w:t>3.812328881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975E5F">
              <w:rPr>
                <w:rFonts w:ascii="新細明體" w:hAnsi="新細明體" w:cs="新細明體"/>
                <w:color w:val="000000"/>
                <w:kern w:val="0"/>
              </w:rPr>
              <w:t>0.096889595</w:t>
            </w:r>
          </w:p>
        </w:tc>
      </w:tr>
      <w:tr w:rsidR="00F52258" w:rsidRPr="00975E5F" w:rsidTr="00975E5F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>
              <w:rPr>
                <w:rFonts w:ascii="新細明體" w:hAnsi="新細明體" w:cs="新細明體" w:hint="eastAsia"/>
                <w:color w:val="000000"/>
                <w:kern w:val="0"/>
              </w:rPr>
              <w:t>均值方差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975E5F">
              <w:rPr>
                <w:rFonts w:ascii="新細明體" w:hAnsi="新細明體" w:cs="新細明體"/>
                <w:color w:val="000000"/>
                <w:kern w:val="0"/>
              </w:rPr>
              <w:t>0.164249959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975E5F">
              <w:rPr>
                <w:rFonts w:ascii="新細明體" w:hAnsi="新細明體" w:cs="新細明體"/>
                <w:color w:val="000000"/>
                <w:kern w:val="0"/>
              </w:rPr>
              <w:t>4.045513806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52258" w:rsidRPr="00975E5F" w:rsidRDefault="00F52258" w:rsidP="00975E5F">
            <w:pPr>
              <w:widowControl/>
              <w:jc w:val="center"/>
              <w:rPr>
                <w:rFonts w:ascii="新細明體" w:cs="新細明體"/>
                <w:color w:val="000000"/>
                <w:kern w:val="0"/>
              </w:rPr>
            </w:pPr>
            <w:r w:rsidRPr="00975E5F">
              <w:rPr>
                <w:rFonts w:ascii="新細明體" w:hAnsi="新細明體" w:cs="新細明體"/>
                <w:color w:val="000000"/>
                <w:kern w:val="0"/>
              </w:rPr>
              <w:t>0.040600519</w:t>
            </w:r>
          </w:p>
        </w:tc>
      </w:tr>
    </w:tbl>
    <w:p w:rsidR="00F52258" w:rsidRPr="00E36106" w:rsidRDefault="00F52258" w:rsidP="005B56E1">
      <w:pPr>
        <w:spacing w:line="360" w:lineRule="auto"/>
        <w:rPr>
          <w:rFonts w:ascii="新細明體" w:cs="Segoe UI"/>
        </w:rPr>
      </w:pPr>
    </w:p>
    <w:p w:rsidR="00F52258" w:rsidRDefault="00F52258" w:rsidP="008C5A5A">
      <w:pPr>
        <w:spacing w:line="360" w:lineRule="auto"/>
        <w:rPr>
          <w:color w:val="000000"/>
          <w:kern w:val="0"/>
        </w:rPr>
      </w:pPr>
      <w:r w:rsidRPr="004315B7">
        <w:rPr>
          <w:rStyle w:val="apple-style-span"/>
          <w:rFonts w:ascii="新細明體" w:hAnsi="新細明體" w:cs="Segoe UI"/>
        </w:rPr>
        <w:t xml:space="preserve">    </w:t>
      </w:r>
      <w:r w:rsidRPr="004315B7">
        <w:rPr>
          <w:rStyle w:val="ecxapple-style-span"/>
          <w:rFonts w:ascii="新細明體" w:hAnsi="新細明體" w:cs="Segoe UI" w:hint="eastAsia"/>
        </w:rPr>
        <w:t>採用「反轉策略」</w:t>
      </w:r>
      <w:r>
        <w:rPr>
          <w:rStyle w:val="ecxapple-style-span"/>
          <w:rFonts w:ascii="新細明體" w:hAnsi="新細明體" w:cs="Segoe UI" w:hint="eastAsia"/>
        </w:rPr>
        <w:t>後</w:t>
      </w:r>
      <w:r w:rsidRPr="004315B7">
        <w:rPr>
          <w:rStyle w:val="ecxapple-style-span"/>
          <w:rFonts w:ascii="新細明體" w:hAnsi="新細明體" w:cs="Segoe UI" w:hint="eastAsia"/>
        </w:rPr>
        <w:t>，</w:t>
      </w:r>
      <w:r>
        <w:rPr>
          <w:rStyle w:val="ecxapple-style-span"/>
          <w:rFonts w:ascii="新細明體" w:hAnsi="新細明體" w:cs="Segoe UI" w:hint="eastAsia"/>
        </w:rPr>
        <w:t>等權重下</w:t>
      </w:r>
      <w:r w:rsidRPr="004315B7">
        <w:rPr>
          <w:rFonts w:hint="eastAsia"/>
          <w:color w:val="000000"/>
          <w:kern w:val="0"/>
        </w:rPr>
        <w:t>的期望收益為</w:t>
      </w:r>
      <w:r w:rsidRPr="004315B7">
        <w:rPr>
          <w:rFonts w:ascii="新細明體" w:hAnsi="新細明體" w:cs="新細明體"/>
          <w:color w:val="000000"/>
          <w:kern w:val="0"/>
        </w:rPr>
        <w:t>0.369375</w:t>
      </w:r>
      <w:r w:rsidRPr="004315B7">
        <w:rPr>
          <w:rFonts w:ascii="新細明體" w:hAnsi="新細明體" w:cs="新細明體" w:hint="eastAsia"/>
          <w:color w:val="000000"/>
          <w:kern w:val="0"/>
        </w:rPr>
        <w:t>，較</w:t>
      </w:r>
      <w:r>
        <w:rPr>
          <w:rStyle w:val="ecxapple-style-span"/>
          <w:rFonts w:ascii="新細明體" w:hAnsi="新細明體" w:cs="Segoe UI" w:hint="eastAsia"/>
        </w:rPr>
        <w:t>均值方差分析</w:t>
      </w:r>
      <w:r w:rsidRPr="004315B7">
        <w:rPr>
          <w:rFonts w:hint="eastAsia"/>
          <w:color w:val="000000"/>
          <w:kern w:val="0"/>
        </w:rPr>
        <w:t>的期望收益</w:t>
      </w:r>
      <w:r w:rsidRPr="004315B7">
        <w:rPr>
          <w:rFonts w:ascii="新細明體" w:hAnsi="新細明體" w:cs="新細明體"/>
          <w:color w:val="000000"/>
          <w:kern w:val="0"/>
        </w:rPr>
        <w:t>0.164249959</w:t>
      </w:r>
      <w:r w:rsidRPr="004315B7">
        <w:rPr>
          <w:rFonts w:ascii="新細明體" w:hAnsi="新細明體" w:cs="新細明體" w:hint="eastAsia"/>
          <w:color w:val="000000"/>
          <w:kern w:val="0"/>
        </w:rPr>
        <w:t>為高，</w:t>
      </w:r>
      <w:r w:rsidRPr="004315B7">
        <w:rPr>
          <w:rFonts w:ascii="新細明體" w:hAnsi="新細明體" w:cs="新細明體" w:hint="eastAsia"/>
          <w:kern w:val="0"/>
        </w:rPr>
        <w:t>均值方差</w:t>
      </w:r>
      <w:r w:rsidRPr="004315B7">
        <w:rPr>
          <w:rFonts w:ascii="新細明體" w:hAnsi="新細明體" w:cs="新細明體" w:hint="eastAsia"/>
          <w:color w:val="000000"/>
          <w:kern w:val="0"/>
        </w:rPr>
        <w:t>效率也較高，因此，</w:t>
      </w:r>
      <w:r w:rsidRPr="004315B7">
        <w:rPr>
          <w:rStyle w:val="ecxapple-style-span"/>
          <w:rFonts w:ascii="新細明體" w:hAnsi="新細明體" w:cs="Segoe UI" w:hint="eastAsia"/>
        </w:rPr>
        <w:t>根據本研究的資料與實驗結果，</w:t>
      </w:r>
      <w:r>
        <w:rPr>
          <w:rFonts w:hint="eastAsia"/>
          <w:color w:val="000000"/>
          <w:kern w:val="0"/>
        </w:rPr>
        <w:t>等權重的套利策略</w:t>
      </w:r>
      <w:r w:rsidRPr="004315B7">
        <w:rPr>
          <w:rFonts w:hint="eastAsia"/>
          <w:color w:val="000000"/>
          <w:kern w:val="0"/>
        </w:rPr>
        <w:t>是較佳的。</w:t>
      </w:r>
    </w:p>
    <w:p w:rsidR="00F52258" w:rsidRDefault="00F52258" w:rsidP="008C5A5A">
      <w:pPr>
        <w:spacing w:line="360" w:lineRule="auto"/>
        <w:rPr>
          <w:color w:val="000000"/>
          <w:kern w:val="0"/>
        </w:rPr>
      </w:pPr>
      <w:r>
        <w:rPr>
          <w:color w:val="000000"/>
          <w:kern w:val="0"/>
        </w:rPr>
        <w:t xml:space="preserve">   </w:t>
      </w:r>
      <w:r>
        <w:rPr>
          <w:rFonts w:hint="eastAsia"/>
          <w:color w:val="000000"/>
          <w:kern w:val="0"/>
        </w:rPr>
        <w:t>等權重的套利策略似乎沒有均值方差的套利策略來的高竿，但是為什麼等權重下的結果較優呢？對於投資來說，想要完全清楚所要套利的投資組合資訊是幾乎不可能的，換句話說，投資者對於想要套利的投資組合，不是只知道部分資訊，就是對所有的資訊一概不知。對於沒有任何資訊來源的投資人來說，等權重的投資策略想必是最適合的，而大部分的投資者，對投資資訊是部分了解的，投資者會觀察及參考過去歷史的收益而決定，但卻擔心過去的收益情況不會持續下去，也擔心會有離群值的存在，然而，投資者卻沒有辦法預測未來的變化，只能根據過去的歷史數據而投資，因此，投資者會選擇等權重的套利策略，而不會選擇以穩定經濟發展為前提的均值方差套利策略。</w:t>
      </w:r>
    </w:p>
    <w:p w:rsidR="00F52258" w:rsidRPr="00E36106" w:rsidRDefault="00F52258" w:rsidP="008C5A5A">
      <w:pPr>
        <w:spacing w:line="360" w:lineRule="auto"/>
        <w:rPr>
          <w:rStyle w:val="ecxapple-style-span"/>
          <w:rFonts w:ascii="新細明體" w:cs="Segoe UI"/>
        </w:rPr>
      </w:pPr>
      <w:r>
        <w:rPr>
          <w:color w:val="000000"/>
          <w:kern w:val="0"/>
        </w:rPr>
        <w:t xml:space="preserve">    </w:t>
      </w:r>
      <w:r>
        <w:rPr>
          <w:rFonts w:hint="eastAsia"/>
          <w:color w:val="000000"/>
          <w:kern w:val="0"/>
        </w:rPr>
        <w:t>另外，根據</w:t>
      </w:r>
      <w:r>
        <w:rPr>
          <w:color w:val="000000"/>
          <w:kern w:val="0"/>
        </w:rPr>
        <w:t>Haim Levy &amp; Ran Duchin (2010)</w:t>
      </w:r>
      <w:r>
        <w:rPr>
          <w:rFonts w:hint="eastAsia"/>
          <w:color w:val="000000"/>
          <w:kern w:val="0"/>
        </w:rPr>
        <w:t>的研究，當所投資的資產數量很少時，等權重的套利策略會比均值方差的套利策略為優。在本研究中，我們選擇四個資產，做出來的結果也與</w:t>
      </w:r>
      <w:r>
        <w:rPr>
          <w:color w:val="000000"/>
          <w:kern w:val="0"/>
        </w:rPr>
        <w:t>Haim Levy &amp; Ran Duchin (2010)</w:t>
      </w:r>
      <w:r>
        <w:rPr>
          <w:rFonts w:hint="eastAsia"/>
          <w:color w:val="000000"/>
          <w:kern w:val="0"/>
        </w:rPr>
        <w:t>的實驗結果相互印證，當然，在現實社會中，大部分的投資者都是由眾多資產中選擇幾樣資產進行套利與投資，這也與本研究的實驗結果相互印證。</w:t>
      </w:r>
    </w:p>
    <w:p w:rsidR="00F52258" w:rsidRDefault="00F52258">
      <w:pPr>
        <w:widowControl/>
        <w:rPr>
          <w:rStyle w:val="ecxapple-style-span"/>
          <w:rFonts w:ascii="新細明體" w:cs="Segoe UI"/>
          <w:color w:val="2A2A2A"/>
        </w:rPr>
      </w:pPr>
      <w:r>
        <w:rPr>
          <w:rStyle w:val="ecxapple-style-span"/>
          <w:rFonts w:ascii="新細明體" w:cs="Segoe UI"/>
          <w:color w:val="2A2A2A"/>
        </w:rPr>
        <w:br w:type="page"/>
      </w:r>
    </w:p>
    <w:p w:rsidR="00F52258" w:rsidRPr="00C65168" w:rsidRDefault="00F52258" w:rsidP="001F1BB7">
      <w:pPr>
        <w:pStyle w:val="Heading1"/>
        <w:numPr>
          <w:ilvl w:val="0"/>
          <w:numId w:val="2"/>
        </w:numPr>
        <w:jc w:val="center"/>
        <w:rPr>
          <w:rFonts w:ascii="新細明體"/>
          <w:b w:val="0"/>
          <w:sz w:val="32"/>
          <w:szCs w:val="32"/>
        </w:rPr>
      </w:pPr>
      <w:r w:rsidRPr="004315B7">
        <w:rPr>
          <w:rFonts w:ascii="新細明體" w:hAnsi="新細明體" w:hint="eastAsia"/>
          <w:b w:val="0"/>
          <w:sz w:val="32"/>
          <w:szCs w:val="32"/>
        </w:rPr>
        <w:t>結論與建議</w:t>
      </w:r>
    </w:p>
    <w:p w:rsidR="00F52258" w:rsidRDefault="00F52258" w:rsidP="00A938B4">
      <w:pPr>
        <w:spacing w:line="360" w:lineRule="auto"/>
        <w:rPr>
          <w:color w:val="000000"/>
          <w:kern w:val="0"/>
        </w:rPr>
      </w:pPr>
      <w:r w:rsidRPr="004315B7">
        <w:rPr>
          <w:rFonts w:ascii="新細明體" w:hAnsi="新細明體"/>
        </w:rPr>
        <w:t xml:space="preserve">    </w:t>
      </w:r>
      <w:r w:rsidRPr="004315B7">
        <w:rPr>
          <w:rFonts w:ascii="新細明體" w:hAnsi="新細明體" w:hint="eastAsia"/>
        </w:rPr>
        <w:t>本研究選</w:t>
      </w:r>
      <w:r>
        <w:rPr>
          <w:rFonts w:ascii="新細明體" w:hAnsi="新細明體" w:hint="eastAsia"/>
        </w:rPr>
        <w:t>用均值方差</w:t>
      </w:r>
      <w:r w:rsidRPr="004315B7">
        <w:rPr>
          <w:rStyle w:val="apple-style-span"/>
          <w:rFonts w:ascii="新細明體" w:hAnsi="新細明體" w:cs="Arial" w:hint="eastAsia"/>
        </w:rPr>
        <w:t>和</w:t>
      </w:r>
      <w:r>
        <w:rPr>
          <w:rStyle w:val="apple-style-span"/>
          <w:rFonts w:hint="eastAsia"/>
        </w:rPr>
        <w:t>等權重</w:t>
      </w:r>
      <w:r w:rsidRPr="004315B7">
        <w:rPr>
          <w:rStyle w:val="apple-style-span"/>
          <w:rFonts w:ascii="新細明體" w:hAnsi="新細明體" w:cs="Arial" w:hint="eastAsia"/>
        </w:rPr>
        <w:t>兩種</w:t>
      </w:r>
      <w:r w:rsidRPr="004315B7">
        <w:rPr>
          <w:rStyle w:val="apple-style-span"/>
          <w:rFonts w:ascii="新細明體" w:hAnsi="新細明體" w:cs="Segoe UI" w:hint="eastAsia"/>
        </w:rPr>
        <w:t>套利策略，由前五年的月平均收益資料（共</w:t>
      </w:r>
      <w:r w:rsidRPr="004315B7">
        <w:rPr>
          <w:rStyle w:val="apple-style-span"/>
          <w:rFonts w:ascii="新細明體" w:hAnsi="新細明體" w:cs="Segoe UI"/>
        </w:rPr>
        <w:t>60</w:t>
      </w:r>
      <w:r w:rsidRPr="004315B7">
        <w:rPr>
          <w:rStyle w:val="apple-style-span"/>
          <w:rFonts w:ascii="新細明體" w:hAnsi="新細明體" w:cs="Segoe UI" w:hint="eastAsia"/>
        </w:rPr>
        <w:t>筆）分別算出它們的最適解：</w:t>
      </w:r>
      <w:r>
        <w:rPr>
          <w:rStyle w:val="apple-style-span"/>
          <w:rFonts w:hint="eastAsia"/>
        </w:rPr>
        <w:t>均值方差策略的權數</w:t>
      </w:r>
      <w:r w:rsidRPr="004315B7">
        <w:rPr>
          <w:rStyle w:val="apple-style-span"/>
          <w:rFonts w:ascii="新細明體" w:hAnsi="新細明體" w:cs="Arial" w:hint="eastAsia"/>
        </w:rPr>
        <w:t>為</w:t>
      </w:r>
      <w:r w:rsidRPr="00732CF9">
        <w:rPr>
          <w:rStyle w:val="apple-style-span"/>
          <w:rFonts w:ascii="新細明體" w:hAnsi="新細明體" w:cs="Arial"/>
        </w:rPr>
        <w:fldChar w:fldCharType="begin"/>
      </w:r>
      <w:r w:rsidRPr="00732CF9">
        <w:rPr>
          <w:rStyle w:val="apple-style-span"/>
          <w:rFonts w:ascii="新細明體" w:hAnsi="新細明體" w:cs="Arial"/>
        </w:rPr>
        <w:instrText xml:space="preserve"> QUOTE </w:instrText>
      </w:r>
      <w:r w:rsidRPr="00732CF9">
        <w:pict>
          <v:shape id="_x0000_i1187" type="#_x0000_t75" style="width:90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36CB9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36CB9&quot;&gt;&lt;m:oMathPara&gt;&lt;m:oMath&gt;&lt;m:sSup&gt;&lt;m:sSupPr&gt;&lt;m:ctrlPr&gt;&lt;w:rPr&gt;&lt;w:rFonts w:ascii=&quot;Cambria Math&quot; w:fareast=&quot;">
            <v:imagedata r:id="rId52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instrText xml:space="preserve"> </w:instrText>
      </w:r>
      <w:r w:rsidRPr="00732CF9">
        <w:rPr>
          <w:rStyle w:val="apple-style-span"/>
          <w:rFonts w:ascii="新細明體" w:hAnsi="新細明體" w:cs="Arial"/>
        </w:rPr>
        <w:fldChar w:fldCharType="separate"/>
      </w:r>
      <w:r w:rsidRPr="00732CF9">
        <w:pict>
          <v:shape id="_x0000_i1188" type="#_x0000_t75" style="width:90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36CB9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136CB9&quot;&gt;&lt;m:oMathPara&gt;&lt;m:oMath&gt;&lt;m:sSup&gt;&lt;m:sSupPr&gt;&lt;m:ctrlPr&gt;&lt;w:rPr&gt;&lt;w:rFonts w:ascii=&quot;Cambria Math&quot; w:fareast=&quot;">
            <v:imagedata r:id="rId52" o:title="" chromakey="white"/>
          </v:shape>
        </w:pict>
      </w:r>
      <w:r w:rsidRPr="00732CF9">
        <w:rPr>
          <w:rStyle w:val="apple-style-span"/>
          <w:rFonts w:ascii="新細明體" w:hAnsi="新細明體" w:cs="Arial"/>
        </w:rPr>
        <w:fldChar w:fldCharType="end"/>
      </w:r>
      <w:r>
        <w:rPr>
          <w:rStyle w:val="apple-style-span"/>
          <w:rFonts w:ascii="新細明體" w:hAnsi="新細明體" w:cs="Arial" w:hint="eastAsia"/>
        </w:rPr>
        <w:t>，等權重策略的權數</w:t>
      </w:r>
      <w:r w:rsidRPr="004315B7">
        <w:rPr>
          <w:rStyle w:val="apple-style-span"/>
          <w:rFonts w:ascii="新細明體" w:hAnsi="新細明體" w:cs="Arial" w:hint="eastAsia"/>
        </w:rPr>
        <w:t>為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89" type="#_x0000_t75" style="width:163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1BA1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861BA1&quot;&gt;&lt;m:oMathPara&gt;&lt;m:oMath&gt;&lt;m:sSup&gt;&lt;m:sSupPr&gt;&lt;m:ctrlPr&gt;&lt;w:rPr&gt;&lt;w:rFonts w:ascii=&quot;Cambria Math&quot; w:fareast=&quot;">
            <v:imagedata r:id="rId53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90" type="#_x0000_t75" style="width:163.5pt;height:1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1BA1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861BA1&quot;&gt;&lt;m:oMathPara&gt;&lt;m:oMath&gt;&lt;m:sSup&gt;&lt;m:sSupPr&gt;&lt;m:ctrlPr&gt;&lt;w:rPr&gt;&lt;w:rFonts w:ascii=&quot;Cambria Math&quot; w:fareast=&quot;">
            <v:imagedata r:id="rId53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(</w:t>
      </w:r>
      <w:r w:rsidRPr="00732CF9">
        <w:rPr>
          <w:rFonts w:ascii="新細明體" w:hAnsi="新細明體"/>
        </w:rPr>
        <w:fldChar w:fldCharType="begin"/>
      </w:r>
      <w:r w:rsidRPr="00732CF9">
        <w:rPr>
          <w:rFonts w:ascii="新細明體" w:hAnsi="新細明體"/>
        </w:rPr>
        <w:instrText xml:space="preserve"> QUOTE </w:instrText>
      </w:r>
      <w:r w:rsidRPr="00732CF9">
        <w:pict>
          <v:shape id="_x0000_i1191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0F27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20F27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instrText xml:space="preserve"> </w:instrText>
      </w:r>
      <w:r w:rsidRPr="00732CF9">
        <w:rPr>
          <w:rFonts w:ascii="新細明體" w:hAnsi="新細明體"/>
        </w:rPr>
        <w:fldChar w:fldCharType="separate"/>
      </w:r>
      <w:r w:rsidRPr="00732CF9">
        <w:pict>
          <v:shape id="_x0000_i1192" type="#_x0000_t75" style="width:172.5pt;height:66.7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bordersDontSurroundHeader/&gt;&lt;w:bordersDontSurroundFooter/&gt;&lt;w:defaultTabStop w:val=&quot;480&quot;/&gt;&lt;w:displayHorizontalDrawingGridEvery w:val=&quot;0&quot;/&gt;&lt;w:displayVerticalDrawingGridEvery w:val=&quot;2&quot;/&gt;&lt;w:punctuationKerning/&gt;&lt;w:characterSpacingControl w:val=&quot;CompressPunctuation&quot;/&gt;&lt;w:optimizeForBrowser/&gt;&lt;w:validateAgainstSchema/&gt;&lt;w:saveInvalidXML w:val=&quot;off&quot;/&gt;&lt;w:ignoreMixedContent w:val=&quot;off&quot;/&gt;&lt;w:alwaysShowPlaceholderText w:val=&quot;off&quot;/&gt;&lt;w:compat&gt;&lt;w:spaceForUL/&gt;&lt;w:balanceSingleByteDoubleByteWidth/&gt;&lt;w:doNotLeaveBackslashAlone/&gt;&lt;w:ulTrailSpace/&gt;&lt;w:doNotExpandShiftReturn/&gt;&lt;w:adjustLineHeightInTable/&gt;&lt;w:breakWrappedTables/&gt;&lt;w:snapToGridInCell/&gt;&lt;w:wrapTextWithPunct/&gt;&lt;w:useAsianBreakRules/&gt;&lt;w:dontGrowAutofit/&gt;&lt;w:useFELayout/&gt;&lt;/w:compat&gt;&lt;wsp:rsids&gt;&lt;wsp:rsidRoot wsp:val=&quot;0066777D&quot;/&gt;&lt;wsp:rsid wsp:val=&quot;00006297&quot;/&gt;&lt;wsp:rsid wsp:val=&quot;000275FE&quot;/&gt;&lt;wsp:rsid wsp:val=&quot;0005358A&quot;/&gt;&lt;wsp:rsid wsp:val=&quot;000547AC&quot;/&gt;&lt;wsp:rsid wsp:val=&quot;00067572&quot;/&gt;&lt;wsp:rsid wsp:val=&quot;00070297&quot;/&gt;&lt;wsp:rsid wsp:val=&quot;00082227&quot;/&gt;&lt;wsp:rsid wsp:val=&quot;000C325B&quot;/&gt;&lt;wsp:rsid wsp:val=&quot;000F51B8&quot;/&gt;&lt;wsp:rsid wsp:val=&quot;00100156&quot;/&gt;&lt;wsp:rsid wsp:val=&quot;00124FD9&quot;/&gt;&lt;wsp:rsid wsp:val=&quot;00130B4F&quot;/&gt;&lt;wsp:rsid wsp:val=&quot;0014377F&quot;/&gt;&lt;wsp:rsid wsp:val=&quot;00152DDA&quot;/&gt;&lt;wsp:rsid wsp:val=&quot;00177671&quot;/&gt;&lt;wsp:rsid wsp:val=&quot;0019383D&quot;/&gt;&lt;wsp:rsid wsp:val=&quot;001A220B&quot;/&gt;&lt;wsp:rsid wsp:val=&quot;001B2545&quot;/&gt;&lt;wsp:rsid wsp:val=&quot;001B6FEC&quot;/&gt;&lt;wsp:rsid wsp:val=&quot;001C0227&quot;/&gt;&lt;wsp:rsid wsp:val=&quot;001D0560&quot;/&gt;&lt;wsp:rsid wsp:val=&quot;001E1A81&quot;/&gt;&lt;wsp:rsid wsp:val=&quot;001E4905&quot;/&gt;&lt;wsp:rsid wsp:val=&quot;001F1BB7&quot;/&gt;&lt;wsp:rsid wsp:val=&quot;001F2BDF&quot;/&gt;&lt;wsp:rsid wsp:val=&quot;001F4921&quot;/&gt;&lt;wsp:rsid wsp:val=&quot;002126E2&quot;/&gt;&lt;wsp:rsid wsp:val=&quot;002172FB&quot;/&gt;&lt;wsp:rsid wsp:val=&quot;00223897&quot;/&gt;&lt;wsp:rsid wsp:val=&quot;002324B2&quot;/&gt;&lt;wsp:rsid wsp:val=&quot;0024716A&quot;/&gt;&lt;wsp:rsid wsp:val=&quot;002751B2&quot;/&gt;&lt;wsp:rsid wsp:val=&quot;00280494&quot;/&gt;&lt;wsp:rsid wsp:val=&quot;0028057D&quot;/&gt;&lt;wsp:rsid wsp:val=&quot;00285226&quot;/&gt;&lt;wsp:rsid wsp:val=&quot;00294AF2&quot;/&gt;&lt;wsp:rsid wsp:val=&quot;002A4F7A&quot;/&gt;&lt;wsp:rsid wsp:val=&quot;002B5153&quot;/&gt;&lt;wsp:rsid wsp:val=&quot;002D131A&quot;/&gt;&lt;wsp:rsid wsp:val=&quot;002D712E&quot;/&gt;&lt;wsp:rsid wsp:val=&quot;002E0ABA&quot;/&gt;&lt;wsp:rsid wsp:val=&quot;002E626B&quot;/&gt;&lt;wsp:rsid wsp:val=&quot;002F2318&quot;/&gt;&lt;wsp:rsid wsp:val=&quot;002F7319&quot;/&gt;&lt;wsp:rsid wsp:val=&quot;00306EC7&quot;/&gt;&lt;wsp:rsid wsp:val=&quot;00325083&quot;/&gt;&lt;wsp:rsid wsp:val=&quot;00327260&quot;/&gt;&lt;wsp:rsid wsp:val=&quot;003500D6&quot;/&gt;&lt;wsp:rsid wsp:val=&quot;00351732&quot;/&gt;&lt;wsp:rsid wsp:val=&quot;0037023B&quot;/&gt;&lt;wsp:rsid wsp:val=&quot;003A1E7C&quot;/&gt;&lt;wsp:rsid wsp:val=&quot;003B5938&quot;/&gt;&lt;wsp:rsid wsp:val=&quot;003E2AE3&quot;/&gt;&lt;wsp:rsid wsp:val=&quot;003E7D8B&quot;/&gt;&lt;wsp:rsid wsp:val=&quot;003F182C&quot;/&gt;&lt;wsp:rsid wsp:val=&quot;00401F86&quot;/&gt;&lt;wsp:rsid wsp:val=&quot;00412AA3&quot;/&gt;&lt;wsp:rsid wsp:val=&quot;0043130C&quot;/&gt;&lt;wsp:rsid wsp:val=&quot;004315B7&quot;/&gt;&lt;wsp:rsid wsp:val=&quot;00445C40&quot;/&gt;&lt;wsp:rsid wsp:val=&quot;00481FB3&quot;/&gt;&lt;wsp:rsid wsp:val=&quot;004A0102&quot;/&gt;&lt;wsp:rsid wsp:val=&quot;004A16C1&quot;/&gt;&lt;wsp:rsid wsp:val=&quot;004D150E&quot;/&gt;&lt;wsp:rsid wsp:val=&quot;004D4A26&quot;/&gt;&lt;wsp:rsid wsp:val=&quot;004E7D96&quot;/&gt;&lt;wsp:rsid wsp:val=&quot;004F34C6&quot;/&gt;&lt;wsp:rsid wsp:val=&quot;00523316&quot;/&gt;&lt;wsp:rsid wsp:val=&quot;00523828&quot;/&gt;&lt;wsp:rsid wsp:val=&quot;00526346&quot;/&gt;&lt;wsp:rsid wsp:val=&quot;005304FC&quot;/&gt;&lt;wsp:rsid wsp:val=&quot;00531F5F&quot;/&gt;&lt;wsp:rsid wsp:val=&quot;0055685C&quot;/&gt;&lt;wsp:rsid wsp:val=&quot;00561569&quot;/&gt;&lt;wsp:rsid wsp:val=&quot;005625E6&quot;/&gt;&lt;wsp:rsid wsp:val=&quot;00563927&quot;/&gt;&lt;wsp:rsid wsp:val=&quot;00593A8B&quot;/&gt;&lt;wsp:rsid wsp:val=&quot;005A6CE0&quot;/&gt;&lt;wsp:rsid wsp:val=&quot;005B32F3&quot;/&gt;&lt;wsp:rsid wsp:val=&quot;005B33D2&quot;/&gt;&lt;wsp:rsid wsp:val=&quot;005B3EBE&quot;/&gt;&lt;wsp:rsid wsp:val=&quot;005B56E1&quot;/&gt;&lt;wsp:rsid wsp:val=&quot;005C0F6E&quot;/&gt;&lt;wsp:rsid wsp:val=&quot;005C74C3&quot;/&gt;&lt;wsp:rsid wsp:val=&quot;005D412D&quot;/&gt;&lt;wsp:rsid wsp:val=&quot;005E1EBA&quot;/&gt;&lt;wsp:rsid wsp:val=&quot;00613746&quot;/&gt;&lt;wsp:rsid wsp:val=&quot;00614A19&quot;/&gt;&lt;wsp:rsid wsp:val=&quot;00651A4C&quot;/&gt;&lt;wsp:rsid wsp:val=&quot;00665653&quot;/&gt;&lt;wsp:rsid wsp:val=&quot;0066777D&quot;/&gt;&lt;wsp:rsid wsp:val=&quot;00670E2B&quot;/&gt;&lt;wsp:rsid wsp:val=&quot;00672762&quot;/&gt;&lt;wsp:rsid wsp:val=&quot;00672B4F&quot;/&gt;&lt;wsp:rsid wsp:val=&quot;00672D8D&quot;/&gt;&lt;wsp:rsid wsp:val=&quot;00677B68&quot;/&gt;&lt;wsp:rsid wsp:val=&quot;00686CFA&quot;/&gt;&lt;wsp:rsid wsp:val=&quot;006879D6&quot;/&gt;&lt;wsp:rsid wsp:val=&quot;00695768&quot;/&gt;&lt;wsp:rsid wsp:val=&quot;006B75DE&quot;/&gt;&lt;wsp:rsid wsp:val=&quot;006D049F&quot;/&gt;&lt;wsp:rsid wsp:val=&quot;006D5DB4&quot;/&gt;&lt;wsp:rsid wsp:val=&quot;006D79CB&quot;/&gt;&lt;wsp:rsid wsp:val=&quot;006E548E&quot;/&gt;&lt;wsp:rsid wsp:val=&quot;00704106&quot;/&gt;&lt;wsp:rsid wsp:val=&quot;00711523&quot;/&gt;&lt;wsp:rsid wsp:val=&quot;00732CF9&quot;/&gt;&lt;wsp:rsid wsp:val=&quot;007341B5&quot;/&gt;&lt;wsp:rsid wsp:val=&quot;007539A9&quot;/&gt;&lt;wsp:rsid wsp:val=&quot;00754450&quot;/&gt;&lt;wsp:rsid wsp:val=&quot;007728B3&quot;/&gt;&lt;wsp:rsid wsp:val=&quot;007731C8&quot;/&gt;&lt;wsp:rsid wsp:val=&quot;00780FED&quot;/&gt;&lt;wsp:rsid wsp:val=&quot;00787FC5&quot;/&gt;&lt;wsp:rsid wsp:val=&quot;00797E59&quot;/&gt;&lt;wsp:rsid wsp:val=&quot;007A0CBB&quot;/&gt;&lt;wsp:rsid wsp:val=&quot;007B4976&quot;/&gt;&lt;wsp:rsid wsp:val=&quot;007C5B01&quot;/&gt;&lt;wsp:rsid wsp:val=&quot;00803A3C&quot;/&gt;&lt;wsp:rsid wsp:val=&quot;008048DD&quot;/&gt;&lt;wsp:rsid wsp:val=&quot;008069FE&quot;/&gt;&lt;wsp:rsid wsp:val=&quot;00811491&quot;/&gt;&lt;wsp:rsid wsp:val=&quot;008342CD&quot;/&gt;&lt;wsp:rsid wsp:val=&quot;008349A7&quot;/&gt;&lt;wsp:rsid wsp:val=&quot;00835F99&quot;/&gt;&lt;wsp:rsid wsp:val=&quot;00862B43&quot;/&gt;&lt;wsp:rsid wsp:val=&quot;008640B2&quot;/&gt;&lt;wsp:rsid wsp:val=&quot;00865092&quot;/&gt;&lt;wsp:rsid wsp:val=&quot;008714A5&quot;/&gt;&lt;wsp:rsid wsp:val=&quot;008808E9&quot;/&gt;&lt;wsp:rsid wsp:val=&quot;00880A1E&quot;/&gt;&lt;wsp:rsid wsp:val=&quot;00892319&quot;/&gt;&lt;wsp:rsid wsp:val=&quot;00892350&quot;/&gt;&lt;wsp:rsid wsp:val=&quot;00897FBF&quot;/&gt;&lt;wsp:rsid wsp:val=&quot;008B0A97&quot;/&gt;&lt;wsp:rsid wsp:val=&quot;008C5A5A&quot;/&gt;&lt;wsp:rsid wsp:val=&quot;008C6FEA&quot;/&gt;&lt;wsp:rsid wsp:val=&quot;008C7348&quot;/&gt;&lt;wsp:rsid wsp:val=&quot;008E2825&quot;/&gt;&lt;wsp:rsid wsp:val=&quot;008E33D5&quot;/&gt;&lt;wsp:rsid wsp:val=&quot;00913CC1&quot;/&gt;&lt;wsp:rsid wsp:val=&quot;00915505&quot;/&gt;&lt;wsp:rsid wsp:val=&quot;00934344&quot;/&gt;&lt;wsp:rsid wsp:val=&quot;00956902&quot;/&gt;&lt;wsp:rsid wsp:val=&quot;00975E5F&quot;/&gt;&lt;wsp:rsid wsp:val=&quot;009764B4&quot;/&gt;&lt;wsp:rsid wsp:val=&quot;00984049&quot;/&gt;&lt;wsp:rsid wsp:val=&quot;00985B50&quot;/&gt;&lt;wsp:rsid wsp:val=&quot;009860E2&quot;/&gt;&lt;wsp:rsid wsp:val=&quot;00993E9B&quot;/&gt;&lt;wsp:rsid wsp:val=&quot;0099639E&quot;/&gt;&lt;wsp:rsid wsp:val=&quot;009D2D0D&quot;/&gt;&lt;wsp:rsid wsp:val=&quot;009D6CC0&quot;/&gt;&lt;wsp:rsid wsp:val=&quot;009D7647&quot;/&gt;&lt;wsp:rsid wsp:val=&quot;009D78FD&quot;/&gt;&lt;wsp:rsid wsp:val=&quot;009E0DDE&quot;/&gt;&lt;wsp:rsid wsp:val=&quot;009F4A02&quot;/&gt;&lt;wsp:rsid wsp:val=&quot;00A00A8F&quot;/&gt;&lt;wsp:rsid wsp:val=&quot;00A1747E&quot;/&gt;&lt;wsp:rsid wsp:val=&quot;00A20F27&quot;/&gt;&lt;wsp:rsid wsp:val=&quot;00A23685&quot;/&gt;&lt;wsp:rsid wsp:val=&quot;00A26D86&quot;/&gt;&lt;wsp:rsid wsp:val=&quot;00A3098F&quot;/&gt;&lt;wsp:rsid wsp:val=&quot;00A35361&quot;/&gt;&lt;wsp:rsid wsp:val=&quot;00A71C4B&quot;/&gt;&lt;wsp:rsid wsp:val=&quot;00A938B4&quot;/&gt;&lt;wsp:rsid wsp:val=&quot;00A95978&quot;/&gt;&lt;wsp:rsid wsp:val=&quot;00AA76DD&quot;/&gt;&lt;wsp:rsid wsp:val=&quot;00AB6E55&quot;/&gt;&lt;wsp:rsid wsp:val=&quot;00AD79FE&quot;/&gt;&lt;wsp:rsid wsp:val=&quot;00AE07AA&quot;/&gt;&lt;wsp:rsid wsp:val=&quot;00AE19B6&quot;/&gt;&lt;wsp:rsid wsp:val=&quot;00AE5239&quot;/&gt;&lt;wsp:rsid wsp:val=&quot;00AF3328&quot;/&gt;&lt;wsp:rsid wsp:val=&quot;00AF4793&quot;/&gt;&lt;wsp:rsid wsp:val=&quot;00AF5C6C&quot;/&gt;&lt;wsp:rsid wsp:val=&quot;00B02C1C&quot;/&gt;&lt;wsp:rsid wsp:val=&quot;00B222C2&quot;/&gt;&lt;wsp:rsid wsp:val=&quot;00B22917&quot;/&gt;&lt;wsp:rsid wsp:val=&quot;00B311CE&quot;/&gt;&lt;wsp:rsid wsp:val=&quot;00B318B5&quot;/&gt;&lt;wsp:rsid wsp:val=&quot;00B401A8&quot;/&gt;&lt;wsp:rsid wsp:val=&quot;00B473D6&quot;/&gt;&lt;wsp:rsid wsp:val=&quot;00B63FBB&quot;/&gt;&lt;wsp:rsid wsp:val=&quot;00B67CB6&quot;/&gt;&lt;wsp:rsid wsp:val=&quot;00B7675E&quot;/&gt;&lt;wsp:rsid wsp:val=&quot;00B90710&quot;/&gt;&lt;wsp:rsid wsp:val=&quot;00BA1C20&quot;/&gt;&lt;wsp:rsid wsp:val=&quot;00BA27E4&quot;/&gt;&lt;wsp:rsid wsp:val=&quot;00BA4891&quot;/&gt;&lt;wsp:rsid wsp:val=&quot;00BC2DA7&quot;/&gt;&lt;wsp:rsid wsp:val=&quot;00BE0D6E&quot;/&gt;&lt;wsp:rsid wsp:val=&quot;00BE62A9&quot;/&gt;&lt;wsp:rsid wsp:val=&quot;00C04B17&quot;/&gt;&lt;wsp:rsid wsp:val=&quot;00C37FDF&quot;/&gt;&lt;wsp:rsid wsp:val=&quot;00C4746D&quot;/&gt;&lt;wsp:rsid wsp:val=&quot;00C65168&quot;/&gt;&lt;wsp:rsid wsp:val=&quot;00C66538&quot;/&gt;&lt;wsp:rsid wsp:val=&quot;00C66693&quot;/&gt;&lt;wsp:rsid wsp:val=&quot;00CC08FF&quot;/&gt;&lt;wsp:rsid wsp:val=&quot;00CC14AA&quot;/&gt;&lt;wsp:rsid wsp:val=&quot;00CC3A90&quot;/&gt;&lt;wsp:rsid wsp:val=&quot;00CD201E&quot;/&gt;&lt;wsp:rsid wsp:val=&quot;00CE1C27&quot;/&gt;&lt;wsp:rsid wsp:val=&quot;00CF6F4D&quot;/&gt;&lt;wsp:rsid wsp:val=&quot;00D00086&quot;/&gt;&lt;wsp:rsid wsp:val=&quot;00D06240&quot;/&gt;&lt;wsp:rsid wsp:val=&quot;00D0700D&quot;/&gt;&lt;wsp:rsid wsp:val=&quot;00D07BB0&quot;/&gt;&lt;wsp:rsid wsp:val=&quot;00D10509&quot;/&gt;&lt;wsp:rsid wsp:val=&quot;00D274C2&quot;/&gt;&lt;wsp:rsid wsp:val=&quot;00D33AE6&quot;/&gt;&lt;wsp:rsid wsp:val=&quot;00D422F9&quot;/&gt;&lt;wsp:rsid wsp:val=&quot;00D42A64&quot;/&gt;&lt;wsp:rsid wsp:val=&quot;00D436B2&quot;/&gt;&lt;wsp:rsid wsp:val=&quot;00D43D85&quot;/&gt;&lt;wsp:rsid wsp:val=&quot;00D477FD&quot;/&gt;&lt;wsp:rsid wsp:val=&quot;00D513F3&quot;/&gt;&lt;wsp:rsid wsp:val=&quot;00D60F16&quot;/&gt;&lt;wsp:rsid wsp:val=&quot;00D747EF&quot;/&gt;&lt;wsp:rsid wsp:val=&quot;00D773C1&quot;/&gt;&lt;wsp:rsid wsp:val=&quot;00D80287&quot;/&gt;&lt;wsp:rsid wsp:val=&quot;00D810C1&quot;/&gt;&lt;wsp:rsid wsp:val=&quot;00D92F45&quot;/&gt;&lt;wsp:rsid wsp:val=&quot;00DB6890&quot;/&gt;&lt;wsp:rsid wsp:val=&quot;00DD66E8&quot;/&gt;&lt;wsp:rsid wsp:val=&quot;00DD7AAE&quot;/&gt;&lt;wsp:rsid wsp:val=&quot;00DD7CDD&quot;/&gt;&lt;wsp:rsid wsp:val=&quot;00E02434&quot;/&gt;&lt;wsp:rsid wsp:val=&quot;00E168D0&quot;/&gt;&lt;wsp:rsid wsp:val=&quot;00E2555A&quot;/&gt;&lt;wsp:rsid wsp:val=&quot;00E36106&quot;/&gt;&lt;wsp:rsid wsp:val=&quot;00E41655&quot;/&gt;&lt;wsp:rsid wsp:val=&quot;00E44AC8&quot;/&gt;&lt;wsp:rsid wsp:val=&quot;00E458B3&quot;/&gt;&lt;wsp:rsid wsp:val=&quot;00E67F6E&quot;/&gt;&lt;wsp:rsid wsp:val=&quot;00E84D70&quot;/&gt;&lt;wsp:rsid wsp:val=&quot;00E84F6D&quot;/&gt;&lt;wsp:rsid wsp:val=&quot;00E959CE&quot;/&gt;&lt;wsp:rsid wsp:val=&quot;00EA033B&quot;/&gt;&lt;wsp:rsid wsp:val=&quot;00EA13EE&quot;/&gt;&lt;wsp:rsid wsp:val=&quot;00EA2C17&quot;/&gt;&lt;wsp:rsid wsp:val=&quot;00EC1AFF&quot;/&gt;&lt;wsp:rsid wsp:val=&quot;00EC244F&quot;/&gt;&lt;wsp:rsid wsp:val=&quot;00EF0DD4&quot;/&gt;&lt;wsp:rsid wsp:val=&quot;00F053A4&quot;/&gt;&lt;wsp:rsid wsp:val=&quot;00F06406&quot;/&gt;&lt;wsp:rsid wsp:val=&quot;00F073C0&quot;/&gt;&lt;wsp:rsid wsp:val=&quot;00F1068D&quot;/&gt;&lt;wsp:rsid wsp:val=&quot;00F21F4D&quot;/&gt;&lt;wsp:rsid wsp:val=&quot;00F240C3&quot;/&gt;&lt;wsp:rsid wsp:val=&quot;00F27B3A&quot;/&gt;&lt;wsp:rsid wsp:val=&quot;00F356F8&quot;/&gt;&lt;wsp:rsid wsp:val=&quot;00F37968&quot;/&gt;&lt;wsp:rsid wsp:val=&quot;00F64E56&quot;/&gt;&lt;wsp:rsid wsp:val=&quot;00F70CF8&quot;/&gt;&lt;wsp:rsid wsp:val=&quot;00F82A74&quot;/&gt;&lt;wsp:rsid wsp:val=&quot;00F92FF8&quot;/&gt;&lt;wsp:rsid wsp:val=&quot;00FA506B&quot;/&gt;&lt;wsp:rsid wsp:val=&quot;00FB36EF&quot;/&gt;&lt;wsp:rsid wsp:val=&quot;00FC7A0C&quot;/&gt;&lt;wsp:rsid wsp:val=&quot;00FD5FB4&quot;/&gt;&lt;/wsp:rsids&gt;&lt;/w:docPr&gt;&lt;w:body&gt;&lt;w:p wsp:rsidR=&quot;00000000&quot; wsp:rsidRDefault=&quot;00A20F27&quot;&gt;&lt;m:oMathPara&gt;&lt;m:oMath&gt;&lt;m:f&gt;&lt;m:fPr&gt;&lt;m:ctrlPr&gt;&lt;w:rPr&gt;&lt;w:rStyle w:val=&quot;apple-style-span&quot;/&gt;&lt;w:rFonts w:ascii=&quot;Cambria Math&quot; w:fareast=&quot;">
            <v:imagedata r:id="rId36" o:title="" chromakey="white"/>
          </v:shape>
        </w:pict>
      </w:r>
      <w:r w:rsidRPr="00732CF9">
        <w:rPr>
          <w:rFonts w:ascii="新細明體" w:hAnsi="新細明體"/>
        </w:rPr>
        <w:fldChar w:fldCharType="end"/>
      </w:r>
      <w:r w:rsidRPr="004315B7">
        <w:rPr>
          <w:rFonts w:ascii="新細明體" w:hAnsi="新細明體"/>
        </w:rPr>
        <w:t>)</w:t>
      </w:r>
      <w:r w:rsidRPr="004315B7">
        <w:rPr>
          <w:rStyle w:val="apple-style-span"/>
          <w:rFonts w:ascii="新細明體" w:hAnsi="新細明體" w:cs="Segoe UI" w:hint="eastAsia"/>
        </w:rPr>
        <w:t>，</w:t>
      </w:r>
      <w:r>
        <w:rPr>
          <w:rStyle w:val="apple-style-span"/>
          <w:rFonts w:ascii="新細明體" w:hAnsi="新細明體" w:cs="Segoe UI" w:hint="eastAsia"/>
        </w:rPr>
        <w:t>將權數</w:t>
      </w:r>
      <w:r w:rsidRPr="004315B7">
        <w:rPr>
          <w:rStyle w:val="apple-style-span"/>
          <w:rFonts w:ascii="新細明體" w:hAnsi="新細明體" w:cs="Segoe UI" w:hint="eastAsia"/>
        </w:rPr>
        <w:t>代入下一期的資料中得到下一期</w:t>
      </w:r>
      <w:r>
        <w:rPr>
          <w:rStyle w:val="apple-style-span"/>
          <w:rFonts w:ascii="新細明體" w:hAnsi="新細明體" w:cs="Segoe UI" w:hint="eastAsia"/>
        </w:rPr>
        <w:t>實現的</w:t>
      </w:r>
      <w:r w:rsidRPr="004315B7">
        <w:rPr>
          <w:rStyle w:val="apple-style-span"/>
          <w:rFonts w:ascii="新細明體" w:hAnsi="新細明體" w:cs="Segoe UI" w:hint="eastAsia"/>
        </w:rPr>
        <w:t>收益，</w:t>
      </w:r>
      <w:r>
        <w:rPr>
          <w:rStyle w:val="apple-style-span"/>
          <w:rFonts w:ascii="新細明體" w:hAnsi="新細明體" w:cs="Segoe UI" w:hint="eastAsia"/>
        </w:rPr>
        <w:t>再採用</w:t>
      </w:r>
      <w:r w:rsidRPr="004315B7">
        <w:rPr>
          <w:rStyle w:val="ecxapple-style-span"/>
          <w:rFonts w:ascii="新細明體" w:hAnsi="新細明體" w:cs="Segoe UI" w:hint="eastAsia"/>
        </w:rPr>
        <w:t>「反轉策略」</w:t>
      </w:r>
      <w:r>
        <w:rPr>
          <w:rStyle w:val="ecxapple-style-span"/>
          <w:rFonts w:ascii="新細明體" w:hAnsi="新細明體" w:cs="Segoe UI" w:hint="eastAsia"/>
        </w:rPr>
        <w:t>，</w:t>
      </w:r>
      <w:r w:rsidRPr="004315B7">
        <w:rPr>
          <w:rStyle w:val="apple-style-span"/>
          <w:rFonts w:ascii="新細明體" w:hAnsi="新細明體" w:cs="Segoe UI" w:hint="eastAsia"/>
        </w:rPr>
        <w:t>並以</w:t>
      </w:r>
      <w:r w:rsidRPr="004315B7">
        <w:rPr>
          <w:rStyle w:val="apple-style-span"/>
          <w:rFonts w:ascii="Segoe UI" w:hAnsi="Segoe UI" w:cs="Segoe UI" w:hint="eastAsia"/>
        </w:rPr>
        <w:t>均值方差效率做為判斷標準</w:t>
      </w:r>
      <w:r w:rsidRPr="004315B7">
        <w:rPr>
          <w:rFonts w:ascii="新細明體" w:hAnsi="新細明體" w:hint="eastAsia"/>
        </w:rPr>
        <w:t>，</w:t>
      </w:r>
      <w:r w:rsidRPr="004315B7">
        <w:rPr>
          <w:rStyle w:val="apple-style-span"/>
          <w:rFonts w:ascii="新細明體" w:hAnsi="新細明體" w:cs="Segoe UI" w:hint="eastAsia"/>
        </w:rPr>
        <w:t>結果是</w:t>
      </w:r>
      <w:r>
        <w:rPr>
          <w:rStyle w:val="apple-style-span"/>
          <w:rFonts w:hint="eastAsia"/>
        </w:rPr>
        <w:t>等權重下的期望收益</w:t>
      </w:r>
      <w:r w:rsidRPr="004315B7">
        <w:rPr>
          <w:rStyle w:val="apple-style-span"/>
          <w:rFonts w:ascii="新細明體" w:hAnsi="新細明體" w:cs="Arial" w:hint="eastAsia"/>
        </w:rPr>
        <w:t>為</w:t>
      </w:r>
      <w:r w:rsidRPr="004315B7">
        <w:rPr>
          <w:rFonts w:ascii="新細明體" w:hAnsi="新細明體" w:cs="新細明體"/>
          <w:color w:val="000000"/>
          <w:kern w:val="0"/>
        </w:rPr>
        <w:t>0.369375</w:t>
      </w:r>
      <w:r>
        <w:rPr>
          <w:rFonts w:ascii="新細明體" w:hAnsi="新細明體" w:cs="新細明體" w:hint="eastAsia"/>
          <w:color w:val="000000"/>
          <w:kern w:val="0"/>
        </w:rPr>
        <w:t>，均值方差效率為</w:t>
      </w:r>
      <w:r w:rsidRPr="00975E5F">
        <w:rPr>
          <w:rFonts w:ascii="新細明體" w:hAnsi="新細明體" w:cs="新細明體"/>
          <w:color w:val="000000"/>
          <w:kern w:val="0"/>
        </w:rPr>
        <w:t>0.096889595</w:t>
      </w:r>
      <w:r w:rsidRPr="004315B7">
        <w:rPr>
          <w:rFonts w:ascii="新細明體" w:hAnsi="新細明體" w:cs="新細明體" w:hint="eastAsia"/>
          <w:kern w:val="0"/>
        </w:rPr>
        <w:t>，</w:t>
      </w:r>
      <w:r>
        <w:rPr>
          <w:rFonts w:hint="eastAsia"/>
          <w:kern w:val="0"/>
        </w:rPr>
        <w:t>均值方差策略的期望收益</w:t>
      </w:r>
      <w:r>
        <w:rPr>
          <w:rFonts w:ascii="新細明體" w:hAnsi="新細明體" w:cs="新細明體" w:hint="eastAsia"/>
          <w:kern w:val="0"/>
        </w:rPr>
        <w:t>為</w:t>
      </w:r>
      <w:r>
        <w:rPr>
          <w:rFonts w:ascii="新細明體" w:hAnsi="新細明體" w:cs="新細明體"/>
          <w:color w:val="000000"/>
          <w:kern w:val="0"/>
        </w:rPr>
        <w:t>0.16424995</w:t>
      </w:r>
      <w:r>
        <w:rPr>
          <w:rFonts w:ascii="新細明體" w:hAnsi="新細明體" w:cs="新細明體" w:hint="eastAsia"/>
          <w:color w:val="000000"/>
          <w:kern w:val="0"/>
        </w:rPr>
        <w:t>，均值方差效率為</w:t>
      </w:r>
      <w:r w:rsidRPr="00975E5F">
        <w:rPr>
          <w:rFonts w:ascii="新細明體" w:hAnsi="新細明體" w:cs="新細明體"/>
          <w:color w:val="000000"/>
          <w:kern w:val="0"/>
        </w:rPr>
        <w:t>0.040600519</w:t>
      </w:r>
      <w:r>
        <w:rPr>
          <w:rStyle w:val="ecxapple-style-span"/>
          <w:rFonts w:ascii="新細明體" w:hAnsi="新細明體" w:cs="Segoe UI" w:hint="eastAsia"/>
        </w:rPr>
        <w:t>，等權重下的期望收益和效率皆相對於均值方差策略為高，</w:t>
      </w:r>
      <w:r w:rsidRPr="004315B7">
        <w:rPr>
          <w:rFonts w:ascii="新細明體" w:hAnsi="新細明體" w:cs="新細明體" w:hint="eastAsia"/>
          <w:color w:val="000000"/>
          <w:kern w:val="0"/>
        </w:rPr>
        <w:t>因此，</w:t>
      </w:r>
      <w:r w:rsidRPr="004315B7">
        <w:rPr>
          <w:rStyle w:val="ecxapple-style-span"/>
          <w:rFonts w:ascii="新細明體" w:hAnsi="新細明體" w:cs="Segoe UI" w:hint="eastAsia"/>
        </w:rPr>
        <w:t>根據本研究的資料與實驗結果，</w:t>
      </w:r>
      <w:r>
        <w:rPr>
          <w:rFonts w:hint="eastAsia"/>
          <w:color w:val="000000"/>
          <w:kern w:val="0"/>
        </w:rPr>
        <w:t>等權重的套利策略</w:t>
      </w:r>
      <w:r w:rsidRPr="004315B7">
        <w:rPr>
          <w:rFonts w:hint="eastAsia"/>
          <w:color w:val="000000"/>
          <w:kern w:val="0"/>
        </w:rPr>
        <w:t>是較佳的。</w:t>
      </w:r>
    </w:p>
    <w:p w:rsidR="00F52258" w:rsidRDefault="00F52258" w:rsidP="001F4921">
      <w:pPr>
        <w:spacing w:line="360" w:lineRule="auto"/>
        <w:rPr>
          <w:color w:val="000000"/>
          <w:kern w:val="0"/>
        </w:rPr>
      </w:pPr>
      <w:r>
        <w:rPr>
          <w:color w:val="000000"/>
          <w:kern w:val="0"/>
        </w:rPr>
        <w:t xml:space="preserve">    </w:t>
      </w:r>
      <w:r>
        <w:rPr>
          <w:rFonts w:hint="eastAsia"/>
          <w:color w:val="000000"/>
          <w:kern w:val="0"/>
        </w:rPr>
        <w:t>大部分的投資者，對於投資資訊是部分了解的，投資者會觀察及參考過去歷史的收益而決定，但卻擔心過去的收益情況不會持續下去，也擔心會有離群值的存在，不幸地，投資者沒有辦法預測未來的變化，只能根據過去的歷史數據而投資，因此，投資者會選擇等權重的套利策略，而不會選擇選擇以穩定經濟發展為前提的均值方差套利策略。</w:t>
      </w:r>
    </w:p>
    <w:p w:rsidR="00F52258" w:rsidRPr="00E67F6E" w:rsidRDefault="00F52258" w:rsidP="00E67F6E">
      <w:pPr>
        <w:spacing w:line="360" w:lineRule="auto"/>
        <w:rPr>
          <w:rStyle w:val="ecxapple-style-span"/>
          <w:color w:val="000000"/>
          <w:kern w:val="0"/>
        </w:rPr>
      </w:pPr>
      <w:r>
        <w:rPr>
          <w:color w:val="000000"/>
          <w:kern w:val="0"/>
        </w:rPr>
        <w:t xml:space="preserve">    </w:t>
      </w:r>
      <w:r>
        <w:rPr>
          <w:rFonts w:hint="eastAsia"/>
          <w:color w:val="000000"/>
          <w:kern w:val="0"/>
        </w:rPr>
        <w:t>另外，根據</w:t>
      </w:r>
      <w:r>
        <w:rPr>
          <w:color w:val="000000"/>
          <w:kern w:val="0"/>
        </w:rPr>
        <w:t>Haim Levy &amp; Ran Duchin (2010)</w:t>
      </w:r>
      <w:r>
        <w:rPr>
          <w:rFonts w:hint="eastAsia"/>
          <w:color w:val="000000"/>
          <w:kern w:val="0"/>
        </w:rPr>
        <w:t>的研究，當所投資的資產數量很少時，等權重的套利策略會比均值方差的套利策略為優。在本研究中，我們選擇四個資產，做出來的結果也與</w:t>
      </w:r>
      <w:r>
        <w:rPr>
          <w:color w:val="000000"/>
          <w:kern w:val="0"/>
        </w:rPr>
        <w:t>Haim Levy &amp; Ran Duchin (2010)</w:t>
      </w:r>
      <w:r>
        <w:rPr>
          <w:rFonts w:hint="eastAsia"/>
          <w:color w:val="000000"/>
          <w:kern w:val="0"/>
        </w:rPr>
        <w:t>的實驗結果相互印證，當然，在現實社會中，大部分的投資者都是由眾多資產中選擇幾樣資產進行套利與投資，這也與本研究的實驗結果相互印證。</w:t>
      </w:r>
    </w:p>
    <w:p w:rsidR="00F52258" w:rsidRDefault="00F52258" w:rsidP="005B3EBE">
      <w:pPr>
        <w:widowControl/>
        <w:spacing w:line="360" w:lineRule="auto"/>
        <w:rPr>
          <w:rStyle w:val="apple-style-span"/>
          <w:rFonts w:ascii="新細明體" w:cs="Segoe UI"/>
        </w:rPr>
      </w:pPr>
      <w:r w:rsidRPr="004315B7">
        <w:rPr>
          <w:rStyle w:val="ecxapple-style-span"/>
          <w:rFonts w:ascii="新細明體" w:hAnsi="新細明體" w:cs="Segoe UI"/>
        </w:rPr>
        <w:t xml:space="preserve">    </w:t>
      </w:r>
      <w:r>
        <w:rPr>
          <w:rStyle w:val="ecxapple-style-span"/>
          <w:rFonts w:ascii="新細明體" w:hAnsi="新細明體" w:cs="Segoe UI" w:hint="eastAsia"/>
        </w:rPr>
        <w:t>往後的研究中，可以搜集更多種資產</w:t>
      </w:r>
      <w:r w:rsidRPr="004315B7">
        <w:rPr>
          <w:rStyle w:val="ecxapple-style-span"/>
          <w:rFonts w:ascii="新細明體" w:hAnsi="新細明體" w:cs="Segoe UI" w:hint="eastAsia"/>
        </w:rPr>
        <w:t>的平均投資收益，或是將月平均投資收益細分為日平均投資收益，比較</w:t>
      </w:r>
      <w:r w:rsidRPr="004315B7">
        <w:rPr>
          <w:rStyle w:val="apple-style-span"/>
          <w:rFonts w:ascii="新細明體" w:hAnsi="新細明體" w:cs="Segoe UI" w:hint="eastAsia"/>
        </w:rPr>
        <w:t>兩種套利策略的期望收益，或是再將其他投資組合策略的方法加以比較，例如</w:t>
      </w:r>
      <w:r>
        <w:rPr>
          <w:rStyle w:val="apple-style-span"/>
          <w:rFonts w:ascii="新細明體" w:hAnsi="新細明體" w:cs="Segoe UI" w:hint="eastAsia"/>
        </w:rPr>
        <w:t>再</w:t>
      </w:r>
      <w:r w:rsidRPr="004315B7">
        <w:rPr>
          <w:rStyle w:val="apple-style-span"/>
          <w:rFonts w:ascii="新細明體" w:hAnsi="新細明體" w:cs="Segoe UI" w:hint="eastAsia"/>
        </w:rPr>
        <w:t>加入</w:t>
      </w:r>
      <w:r>
        <w:rPr>
          <w:rStyle w:val="apple-style-span"/>
          <w:rFonts w:ascii="新細明體" w:hAnsi="新細明體" w:cs="Segoe UI" w:hint="eastAsia"/>
        </w:rPr>
        <w:t>「期望效用分析」</w:t>
      </w:r>
      <w:r w:rsidRPr="004315B7">
        <w:rPr>
          <w:rStyle w:val="apple-style-span"/>
          <w:rFonts w:ascii="新細明體" w:hAnsi="新細明體" w:cs="Segoe UI" w:hint="eastAsia"/>
        </w:rPr>
        <w:t>，比較眾多投資策略的優劣。</w:t>
      </w:r>
    </w:p>
    <w:p w:rsidR="00F52258" w:rsidRPr="00531F5F" w:rsidRDefault="00F52258" w:rsidP="00531F5F">
      <w:pPr>
        <w:widowControl/>
        <w:rPr>
          <w:rStyle w:val="apple-style-span"/>
          <w:rFonts w:ascii="新細明體" w:cs="Segoe UI"/>
        </w:rPr>
      </w:pPr>
      <w:r>
        <w:rPr>
          <w:rStyle w:val="apple-style-span"/>
          <w:rFonts w:ascii="新細明體" w:cs="Segoe UI"/>
        </w:rPr>
        <w:br w:type="page"/>
      </w:r>
    </w:p>
    <w:p w:rsidR="00F52258" w:rsidRPr="00C65168" w:rsidRDefault="00F52258" w:rsidP="00754450">
      <w:pPr>
        <w:pStyle w:val="Heading1"/>
        <w:jc w:val="center"/>
        <w:rPr>
          <w:rFonts w:ascii="新細明體"/>
          <w:b w:val="0"/>
          <w:sz w:val="32"/>
          <w:szCs w:val="32"/>
        </w:rPr>
      </w:pPr>
      <w:r w:rsidRPr="004315B7">
        <w:rPr>
          <w:rFonts w:ascii="新細明體" w:hAnsi="新細明體" w:hint="eastAsia"/>
          <w:b w:val="0"/>
          <w:sz w:val="32"/>
          <w:szCs w:val="32"/>
        </w:rPr>
        <w:t>參考文獻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bCs/>
          <w:color w:val="000000"/>
        </w:rPr>
      </w:pPr>
      <w:r w:rsidRPr="004315B7">
        <w:rPr>
          <w:kern w:val="0"/>
        </w:rPr>
        <w:t>Haim Levy and Ran Duchin</w:t>
      </w:r>
      <w:r w:rsidRPr="004315B7">
        <w:t>, “</w:t>
      </w:r>
      <w:r w:rsidRPr="004315B7">
        <w:rPr>
          <w:kern w:val="0"/>
        </w:rPr>
        <w:t>Markowitz’s Mean-Variance Rule and the Talmudic Diversification Recommendation</w:t>
      </w:r>
      <w:r w:rsidRPr="004315B7">
        <w:rPr>
          <w:bCs/>
          <w:color w:val="000000"/>
        </w:rPr>
        <w:t>”</w:t>
      </w:r>
      <w:r>
        <w:rPr>
          <w:bCs/>
          <w:color w:val="000000"/>
        </w:rPr>
        <w:t xml:space="preserve">, </w:t>
      </w:r>
      <w:r w:rsidRPr="00294AF2">
        <w:rPr>
          <w:bCs/>
          <w:i/>
          <w:color w:val="000000"/>
        </w:rPr>
        <w:t>J.B Gucrard(ed.), Handbook of Portfolio Construction: Contemporary Application, Springer, 2010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bCs/>
          <w:color w:val="000000"/>
        </w:rPr>
      </w:pPr>
      <w:r w:rsidRPr="004315B7">
        <w:rPr>
          <w:kern w:val="0"/>
        </w:rPr>
        <w:t>Shuhong Fang(2006)</w:t>
      </w:r>
      <w:r w:rsidRPr="004315B7">
        <w:t>, “</w:t>
      </w:r>
      <w:r w:rsidRPr="004315B7">
        <w:rPr>
          <w:kern w:val="0"/>
        </w:rPr>
        <w:t>Mean-Variance analysis of arbitrage portfolios</w:t>
      </w:r>
      <w:r w:rsidRPr="004315B7">
        <w:rPr>
          <w:bCs/>
          <w:color w:val="000000"/>
        </w:rPr>
        <w:t>”</w:t>
      </w:r>
      <w:r>
        <w:rPr>
          <w:bCs/>
          <w:color w:val="000000"/>
        </w:rPr>
        <w:t xml:space="preserve">, </w:t>
      </w:r>
      <w:r w:rsidRPr="00787FC5">
        <w:rPr>
          <w:bCs/>
          <w:i/>
          <w:color w:val="000000"/>
        </w:rPr>
        <w:t>Physica A 375(2007) 625-632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bCs/>
          <w:color w:val="000000"/>
        </w:rPr>
      </w:pPr>
      <w:r w:rsidRPr="004315B7">
        <w:rPr>
          <w:bCs/>
          <w:color w:val="000000"/>
        </w:rPr>
        <w:t>Karl B. Diether</w:t>
      </w:r>
      <w:r w:rsidRPr="004315B7">
        <w:t>, “</w:t>
      </w:r>
      <w:r w:rsidRPr="004315B7">
        <w:rPr>
          <w:kern w:val="0"/>
        </w:rPr>
        <w:t>Mean-Variance Analysis</w:t>
      </w:r>
      <w:r w:rsidRPr="004315B7">
        <w:rPr>
          <w:bCs/>
          <w:color w:val="000000"/>
        </w:rPr>
        <w:t>”</w:t>
      </w:r>
      <w:r w:rsidRPr="00D00086">
        <w:rPr>
          <w:bCs/>
          <w:color w:val="000000"/>
        </w:rPr>
        <w:t xml:space="preserve">, </w:t>
      </w:r>
      <w:r w:rsidRPr="00D00086">
        <w:rPr>
          <w:i/>
          <w:kern w:val="0"/>
        </w:rPr>
        <w:t>Fisher College of Business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bCs/>
          <w:i/>
          <w:color w:val="000000"/>
        </w:rPr>
      </w:pPr>
      <w:r w:rsidRPr="004315B7">
        <w:rPr>
          <w:kern w:val="0"/>
        </w:rPr>
        <w:t>Carl H. Nelson(March,1997)</w:t>
      </w:r>
      <w:r w:rsidRPr="004315B7">
        <w:t xml:space="preserve">, “Elliptical Symmetry, Expected Utility, and </w:t>
      </w:r>
      <w:r w:rsidRPr="004315B7">
        <w:rPr>
          <w:kern w:val="0"/>
        </w:rPr>
        <w:t>Mean-Variance Analysis</w:t>
      </w:r>
      <w:r w:rsidRPr="004315B7">
        <w:rPr>
          <w:bCs/>
          <w:color w:val="000000"/>
        </w:rPr>
        <w:t>”</w:t>
      </w:r>
      <w:r>
        <w:rPr>
          <w:bCs/>
          <w:color w:val="000000"/>
        </w:rPr>
        <w:t xml:space="preserve">, </w:t>
      </w:r>
      <w:r w:rsidRPr="003500D6">
        <w:rPr>
          <w:bCs/>
          <w:i/>
          <w:color w:val="000000"/>
        </w:rPr>
        <w:t>Urbana, IL.61801, Department of Agricultural and Consumer Economics University of Illinois.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i/>
          <w:kern w:val="0"/>
        </w:rPr>
      </w:pPr>
      <w:r>
        <w:rPr>
          <w:kern w:val="0"/>
        </w:rPr>
        <w:t xml:space="preserve">Werner F. M. De Bondt, Richard Thalter(1985), “Does the Stock Market Overreact”, </w:t>
      </w:r>
      <w:r w:rsidRPr="002B5153">
        <w:rPr>
          <w:i/>
          <w:kern w:val="0"/>
        </w:rPr>
        <w:t>Journal of Finance 40, 793-805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i/>
          <w:kern w:val="0"/>
        </w:rPr>
      </w:pPr>
      <w:r>
        <w:rPr>
          <w:kern w:val="0"/>
        </w:rPr>
        <w:t xml:space="preserve">Ahmet Baytas, Nusret Cakici(1999), “Do Market Overreact: International Evidence”, </w:t>
      </w:r>
      <w:r w:rsidRPr="009764B4">
        <w:rPr>
          <w:i/>
          <w:kern w:val="0"/>
        </w:rPr>
        <w:t>Journal of Banking &amp; Finance 23, 1121-1144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i/>
          <w:kern w:val="0"/>
        </w:rPr>
      </w:pPr>
      <w:r>
        <w:rPr>
          <w:kern w:val="0"/>
        </w:rPr>
        <w:t xml:space="preserve">Clive Gaunt(2000), “Overreaction in the Australian equity market: 1974-1997”, </w:t>
      </w:r>
      <w:r w:rsidRPr="00F053A4">
        <w:rPr>
          <w:i/>
          <w:kern w:val="0"/>
        </w:rPr>
        <w:t>Pacific-Basin Finance Jou</w:t>
      </w:r>
      <w:r>
        <w:rPr>
          <w:i/>
          <w:kern w:val="0"/>
        </w:rPr>
        <w:t>r</w:t>
      </w:r>
      <w:r w:rsidRPr="00F053A4">
        <w:rPr>
          <w:i/>
          <w:kern w:val="0"/>
        </w:rPr>
        <w:t>nal 8, 375-398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kern w:val="0"/>
        </w:rPr>
      </w:pPr>
      <w:r>
        <w:rPr>
          <w:kern w:val="0"/>
        </w:rPr>
        <w:t xml:space="preserve">Emilios C. Galariotisa, Phil Holmesa, Xiaodong S. Ma(2007), “Contrarian and Momentum Profitability Revisited: Evidence from the London Stock Exchange 1964-2005”, </w:t>
      </w:r>
      <w:r w:rsidRPr="00285226">
        <w:rPr>
          <w:i/>
          <w:kern w:val="0"/>
        </w:rPr>
        <w:t>Journal of Multinational Financial Management 17, 432-447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kern w:val="0"/>
        </w:rPr>
      </w:pPr>
      <w:r>
        <w:rPr>
          <w:kern w:val="0"/>
        </w:rPr>
        <w:t>Jennifer Conrad, Gautam Kaul(1993), “Long-Term Market Overreaction or Biases in Computed Returns”, Journal of Finance 48, 39-63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kern w:val="0"/>
        </w:rPr>
      </w:pPr>
      <w:r>
        <w:rPr>
          <w:kern w:val="0"/>
        </w:rPr>
        <w:t>Jennifer Conrad, Gautam Kaul(1998), “An Anatomy of Trading Strategies”,</w:t>
      </w:r>
      <w:r w:rsidRPr="00285226">
        <w:rPr>
          <w:i/>
          <w:kern w:val="0"/>
        </w:rPr>
        <w:t xml:space="preserve"> Review of Financial Studies 11, 489-519</w:t>
      </w:r>
    </w:p>
    <w:p w:rsidR="00F52258" w:rsidRDefault="00F52258" w:rsidP="009460D8">
      <w:pPr>
        <w:widowControl/>
        <w:spacing w:line="360" w:lineRule="auto"/>
        <w:ind w:leftChars="-50" w:left="31680" w:hangingChars="100" w:firstLine="31680"/>
        <w:rPr>
          <w:bCs/>
          <w:color w:val="000000"/>
        </w:rPr>
      </w:pPr>
      <w:r>
        <w:rPr>
          <w:bCs/>
          <w:color w:val="000000"/>
        </w:rPr>
        <w:t>Johnathan C. Muna, Geraldo M. Vasconcellosb, Richard Kish(1999), “Tests of the Contrarian Investment Strategy Evidence from the French and German stock markets”,</w:t>
      </w:r>
      <w:r w:rsidRPr="00DD66E8">
        <w:rPr>
          <w:bCs/>
          <w:i/>
          <w:color w:val="000000"/>
        </w:rPr>
        <w:t xml:space="preserve"> </w:t>
      </w:r>
      <w:r>
        <w:rPr>
          <w:bCs/>
          <w:i/>
          <w:color w:val="000000"/>
        </w:rPr>
        <w:t>International Review of Financial Analysis 8, 215-234</w:t>
      </w:r>
    </w:p>
    <w:p w:rsidR="00F52258" w:rsidRPr="00285226" w:rsidRDefault="00F52258" w:rsidP="009460D8">
      <w:pPr>
        <w:widowControl/>
        <w:spacing w:line="360" w:lineRule="auto"/>
        <w:ind w:leftChars="-50" w:left="31680" w:hangingChars="100" w:firstLine="31680"/>
        <w:rPr>
          <w:bCs/>
          <w:color w:val="000000"/>
        </w:rPr>
      </w:pPr>
      <w:r>
        <w:rPr>
          <w:bCs/>
          <w:color w:val="000000"/>
        </w:rPr>
        <w:t>Johnathan C. Muna, Geraldo M. Vasconcellosb, Richard Kish(2000), “The Contrarian / Overreaction Hypothesis: An Analysis of the US and Canadian Stock Markets”,</w:t>
      </w:r>
      <w:r w:rsidRPr="00DD66E8">
        <w:rPr>
          <w:bCs/>
          <w:i/>
          <w:color w:val="000000"/>
        </w:rPr>
        <w:t xml:space="preserve"> Global Finance Journal 11, 53-72</w:t>
      </w:r>
    </w:p>
    <w:p w:rsidR="00F52258" w:rsidRPr="003F182C" w:rsidRDefault="00F52258" w:rsidP="0038725E">
      <w:pPr>
        <w:widowControl/>
        <w:spacing w:line="360" w:lineRule="auto"/>
        <w:ind w:leftChars="-50" w:left="31680" w:hangingChars="100" w:firstLine="31680"/>
        <w:rPr>
          <w:bCs/>
          <w:i/>
          <w:color w:val="000000"/>
        </w:rPr>
      </w:pPr>
      <w:r>
        <w:rPr>
          <w:rFonts w:hint="eastAsia"/>
          <w:kern w:val="0"/>
        </w:rPr>
        <w:t>方曙紅、雷冰：《上海股市反轉效應存在性的檢驗與思考》</w:t>
      </w:r>
      <w:r>
        <w:rPr>
          <w:kern w:val="0"/>
        </w:rPr>
        <w:t xml:space="preserve">, </w:t>
      </w:r>
      <w:r w:rsidRPr="003F182C">
        <w:rPr>
          <w:rFonts w:hint="eastAsia"/>
          <w:i/>
          <w:kern w:val="0"/>
        </w:rPr>
        <w:t>中圖分類號</w:t>
      </w:r>
      <w:r w:rsidRPr="003F182C">
        <w:rPr>
          <w:i/>
          <w:kern w:val="0"/>
        </w:rPr>
        <w:t xml:space="preserve"> F830.9 </w:t>
      </w:r>
      <w:r w:rsidRPr="003F182C">
        <w:rPr>
          <w:rFonts w:hint="eastAsia"/>
          <w:i/>
          <w:kern w:val="0"/>
        </w:rPr>
        <w:t>文獻標識碼</w:t>
      </w:r>
      <w:r w:rsidRPr="003F182C">
        <w:rPr>
          <w:i/>
          <w:kern w:val="0"/>
        </w:rPr>
        <w:t xml:space="preserve">A, </w:t>
      </w:r>
      <w:r w:rsidRPr="003F182C">
        <w:rPr>
          <w:rFonts w:hint="eastAsia"/>
          <w:i/>
          <w:kern w:val="0"/>
        </w:rPr>
        <w:t>復旦大學管理學院財務金融系</w:t>
      </w:r>
    </w:p>
    <w:sectPr w:rsidR="00F52258" w:rsidRPr="003F182C" w:rsidSect="004D150E">
      <w:footerReference w:type="default" r:id="rId5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258" w:rsidRDefault="00F52258" w:rsidP="00D0700D">
      <w:r>
        <w:separator/>
      </w:r>
    </w:p>
  </w:endnote>
  <w:endnote w:type="continuationSeparator" w:id="0">
    <w:p w:rsidR="00F52258" w:rsidRDefault="00F52258" w:rsidP="00D070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TB7CF9C5CtCID-WinCharSetFFFF-H">
    <w:altName w:val="文鼎古印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258" w:rsidRDefault="00F52258">
    <w:pPr>
      <w:pStyle w:val="Footer"/>
      <w:jc w:val="center"/>
    </w:pPr>
    <w:fldSimple w:instr=" PAGE   \* MERGEFORMAT ">
      <w:r w:rsidRPr="009460D8">
        <w:rPr>
          <w:noProof/>
          <w:lang w:val="zh-TW" w:eastAsia="zh-CN"/>
        </w:rPr>
        <w:t>1</w:t>
      </w:r>
    </w:fldSimple>
  </w:p>
  <w:p w:rsidR="00F52258" w:rsidRDefault="00F522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258" w:rsidRDefault="00F52258" w:rsidP="00D0700D">
      <w:r>
        <w:separator/>
      </w:r>
    </w:p>
  </w:footnote>
  <w:footnote w:type="continuationSeparator" w:id="0">
    <w:p w:rsidR="00F52258" w:rsidRDefault="00F52258" w:rsidP="00D070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51F1B"/>
    <w:multiLevelType w:val="hybridMultilevel"/>
    <w:tmpl w:val="F6D83FAA"/>
    <w:lvl w:ilvl="0" w:tplc="9F4471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1BC80F01"/>
    <w:multiLevelType w:val="multilevel"/>
    <w:tmpl w:val="BBF8BEDC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2A2A2A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Arial" w:hint="default"/>
        <w:color w:val="2A2A2A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Arial" w:hint="default"/>
        <w:color w:val="2A2A2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2A2A2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2A2A2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2A2A2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2A2A2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2A2A2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2A2A2A"/>
      </w:rPr>
    </w:lvl>
  </w:abstractNum>
  <w:abstractNum w:abstractNumId="2">
    <w:nsid w:val="27F93EB1"/>
    <w:multiLevelType w:val="multilevel"/>
    <w:tmpl w:val="AA8A0E6C"/>
    <w:lvl w:ilvl="0">
      <w:start w:val="2"/>
      <w:numFmt w:val="decimal"/>
      <w:lvlText w:val="%1"/>
      <w:lvlJc w:val="left"/>
      <w:pPr>
        <w:ind w:left="480" w:hanging="480"/>
      </w:pPr>
      <w:rPr>
        <w:rFonts w:eastAsia="新細明體"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eastAsia="新細明體"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="新細明體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新細明體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新細明體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新細明體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新細明體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新細明體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新細明體" w:cs="Times New Roman" w:hint="default"/>
      </w:rPr>
    </w:lvl>
  </w:abstractNum>
  <w:abstractNum w:abstractNumId="3">
    <w:nsid w:val="33AC03B5"/>
    <w:multiLevelType w:val="multilevel"/>
    <w:tmpl w:val="D504B51C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2A2A2A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Arial" w:hint="default"/>
        <w:color w:val="2A2A2A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Arial" w:hint="default"/>
        <w:color w:val="2A2A2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2A2A2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2A2A2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2A2A2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2A2A2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2A2A2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2A2A2A"/>
      </w:rPr>
    </w:lvl>
  </w:abstractNum>
  <w:abstractNum w:abstractNumId="4">
    <w:nsid w:val="35BF11FA"/>
    <w:multiLevelType w:val="multilevel"/>
    <w:tmpl w:val="8996AD78"/>
    <w:lvl w:ilvl="0">
      <w:start w:val="2"/>
      <w:numFmt w:val="decimal"/>
      <w:lvlText w:val="%1"/>
      <w:lvlJc w:val="left"/>
      <w:pPr>
        <w:ind w:left="480" w:hanging="480"/>
      </w:pPr>
      <w:rPr>
        <w:rFonts w:eastAsia="新細明體" w:cs="Arial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新細明體" w:cs="Arial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="新細明體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新細明體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新細明體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新細明體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新細明體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新細明體"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新細明體" w:cs="Arial" w:hint="default"/>
      </w:rPr>
    </w:lvl>
  </w:abstractNum>
  <w:abstractNum w:abstractNumId="5">
    <w:nsid w:val="392F794E"/>
    <w:multiLevelType w:val="hybridMultilevel"/>
    <w:tmpl w:val="CB4A901A"/>
    <w:lvl w:ilvl="0" w:tplc="7878FE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4BF07B75"/>
    <w:multiLevelType w:val="multilevel"/>
    <w:tmpl w:val="F8EE8240"/>
    <w:lvl w:ilvl="0">
      <w:start w:val="3"/>
      <w:numFmt w:val="decimal"/>
      <w:lvlText w:val="%1"/>
      <w:lvlJc w:val="left"/>
      <w:pPr>
        <w:ind w:left="480" w:hanging="480"/>
      </w:pPr>
      <w:rPr>
        <w:rFonts w:cs="Times New Roman" w:hint="default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7">
    <w:nsid w:val="60990A80"/>
    <w:multiLevelType w:val="multilevel"/>
    <w:tmpl w:val="EA042C4E"/>
    <w:lvl w:ilvl="0">
      <w:start w:val="2"/>
      <w:numFmt w:val="decimal"/>
      <w:lvlText w:val="%1"/>
      <w:lvlJc w:val="left"/>
      <w:pPr>
        <w:ind w:left="480" w:hanging="480"/>
      </w:pPr>
      <w:rPr>
        <w:rFonts w:eastAsia="新細明體" w:cs="Arial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新細明體" w:cs="Arial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eastAsia="新細明體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新細明體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新細明體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新細明體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新細明體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新細明體" w:cs="Arial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新細明體" w:cs="Arial" w:hint="default"/>
      </w:rPr>
    </w:lvl>
  </w:abstractNum>
  <w:abstractNum w:abstractNumId="8">
    <w:nsid w:val="69472412"/>
    <w:multiLevelType w:val="hybridMultilevel"/>
    <w:tmpl w:val="1BB670E0"/>
    <w:lvl w:ilvl="0" w:tplc="02B07E36">
      <w:start w:val="1"/>
      <w:numFmt w:val="taiwaneseCountingThousand"/>
      <w:lvlText w:val="第%1章"/>
      <w:lvlJc w:val="left"/>
      <w:pPr>
        <w:ind w:left="1080" w:hanging="1080"/>
      </w:pPr>
      <w:rPr>
        <w:rFonts w:cs="Times New Roman" w:hint="default"/>
      </w:rPr>
    </w:lvl>
    <w:lvl w:ilvl="1" w:tplc="A4224702">
      <w:start w:val="1"/>
      <w:numFmt w:val="taiwaneseCountingThousand"/>
      <w:lvlText w:val="第%2節"/>
      <w:lvlJc w:val="left"/>
      <w:pPr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72F311D6"/>
    <w:multiLevelType w:val="multilevel"/>
    <w:tmpl w:val="EDFEB444"/>
    <w:lvl w:ilvl="0">
      <w:start w:val="3"/>
      <w:numFmt w:val="decimal"/>
      <w:lvlText w:val="%1"/>
      <w:lvlJc w:val="left"/>
      <w:pPr>
        <w:ind w:left="480" w:hanging="480"/>
      </w:pPr>
      <w:rPr>
        <w:rFonts w:cs="Arial" w:hint="default"/>
        <w:color w:val="2A2A2A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Arial" w:hint="default"/>
        <w:color w:val="2A2A2A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Arial" w:hint="default"/>
        <w:color w:val="2A2A2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color w:val="2A2A2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color w:val="2A2A2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color w:val="2A2A2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color w:val="2A2A2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color w:val="2A2A2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color w:val="2A2A2A"/>
      </w:rPr>
    </w:lvl>
  </w:abstractNum>
  <w:abstractNum w:abstractNumId="10">
    <w:nsid w:val="743C01B5"/>
    <w:multiLevelType w:val="multilevel"/>
    <w:tmpl w:val="5986E8AA"/>
    <w:lvl w:ilvl="0">
      <w:start w:val="2"/>
      <w:numFmt w:val="decimal"/>
      <w:lvlText w:val="%1"/>
      <w:lvlJc w:val="left"/>
      <w:pPr>
        <w:ind w:left="480" w:hanging="480"/>
      </w:pPr>
      <w:rPr>
        <w:rFonts w:eastAsia="新細明體" w:cs="Times New Roman"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eastAsia="新細明體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新細明體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新細明體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新細明體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新細明體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新細明體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新細明體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新細明體" w:cs="Times New Roman"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4"/>
  </w:num>
  <w:num w:numId="9">
    <w:abstractNumId w:val="7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777D"/>
    <w:rsid w:val="00006297"/>
    <w:rsid w:val="000275FE"/>
    <w:rsid w:val="0005358A"/>
    <w:rsid w:val="000547AC"/>
    <w:rsid w:val="00067572"/>
    <w:rsid w:val="00070297"/>
    <w:rsid w:val="00082227"/>
    <w:rsid w:val="000C325B"/>
    <w:rsid w:val="000F51B8"/>
    <w:rsid w:val="00100156"/>
    <w:rsid w:val="00124FD9"/>
    <w:rsid w:val="00130B4F"/>
    <w:rsid w:val="0014377F"/>
    <w:rsid w:val="00152DDA"/>
    <w:rsid w:val="00177671"/>
    <w:rsid w:val="0019383D"/>
    <w:rsid w:val="001A220B"/>
    <w:rsid w:val="001B2545"/>
    <w:rsid w:val="001B6FEC"/>
    <w:rsid w:val="001C0227"/>
    <w:rsid w:val="001D0560"/>
    <w:rsid w:val="001E1A81"/>
    <w:rsid w:val="001E4905"/>
    <w:rsid w:val="001F1BB7"/>
    <w:rsid w:val="001F2BDF"/>
    <w:rsid w:val="001F4921"/>
    <w:rsid w:val="002126E2"/>
    <w:rsid w:val="002172FB"/>
    <w:rsid w:val="00223897"/>
    <w:rsid w:val="002324B2"/>
    <w:rsid w:val="0024716A"/>
    <w:rsid w:val="002751B2"/>
    <w:rsid w:val="00280494"/>
    <w:rsid w:val="0028057D"/>
    <w:rsid w:val="00285226"/>
    <w:rsid w:val="00294AF2"/>
    <w:rsid w:val="002A4F7A"/>
    <w:rsid w:val="002B5153"/>
    <w:rsid w:val="002D131A"/>
    <w:rsid w:val="002D712E"/>
    <w:rsid w:val="002E0ABA"/>
    <w:rsid w:val="002E626B"/>
    <w:rsid w:val="002F2318"/>
    <w:rsid w:val="002F7319"/>
    <w:rsid w:val="00306EC7"/>
    <w:rsid w:val="00325083"/>
    <w:rsid w:val="00327260"/>
    <w:rsid w:val="003500D6"/>
    <w:rsid w:val="00351732"/>
    <w:rsid w:val="0037023B"/>
    <w:rsid w:val="0038725E"/>
    <w:rsid w:val="003A1E7C"/>
    <w:rsid w:val="003B5938"/>
    <w:rsid w:val="003E2AE3"/>
    <w:rsid w:val="003E7D8B"/>
    <w:rsid w:val="003F182C"/>
    <w:rsid w:val="00401F86"/>
    <w:rsid w:val="00412AA3"/>
    <w:rsid w:val="0043130C"/>
    <w:rsid w:val="004315B7"/>
    <w:rsid w:val="00445C40"/>
    <w:rsid w:val="00481FB3"/>
    <w:rsid w:val="004A0102"/>
    <w:rsid w:val="004A16C1"/>
    <w:rsid w:val="004D150E"/>
    <w:rsid w:val="004D4A26"/>
    <w:rsid w:val="004E7D96"/>
    <w:rsid w:val="004F34C6"/>
    <w:rsid w:val="00523316"/>
    <w:rsid w:val="00523828"/>
    <w:rsid w:val="00526346"/>
    <w:rsid w:val="005304FC"/>
    <w:rsid w:val="00531F5F"/>
    <w:rsid w:val="0055685C"/>
    <w:rsid w:val="00561569"/>
    <w:rsid w:val="005625E6"/>
    <w:rsid w:val="00563927"/>
    <w:rsid w:val="00593A8B"/>
    <w:rsid w:val="005A6CE0"/>
    <w:rsid w:val="005B32F3"/>
    <w:rsid w:val="005B33D2"/>
    <w:rsid w:val="005B3EBE"/>
    <w:rsid w:val="005B56E1"/>
    <w:rsid w:val="005C0F6E"/>
    <w:rsid w:val="005C74C3"/>
    <w:rsid w:val="005D412D"/>
    <w:rsid w:val="005E1EBA"/>
    <w:rsid w:val="00613746"/>
    <w:rsid w:val="00614A19"/>
    <w:rsid w:val="00651A4C"/>
    <w:rsid w:val="00665653"/>
    <w:rsid w:val="0066777D"/>
    <w:rsid w:val="00670E2B"/>
    <w:rsid w:val="00672762"/>
    <w:rsid w:val="00672B4F"/>
    <w:rsid w:val="00672D8D"/>
    <w:rsid w:val="00677B68"/>
    <w:rsid w:val="00686CFA"/>
    <w:rsid w:val="006879D6"/>
    <w:rsid w:val="00695768"/>
    <w:rsid w:val="006B75DE"/>
    <w:rsid w:val="006D049F"/>
    <w:rsid w:val="006D5DB4"/>
    <w:rsid w:val="006D79CB"/>
    <w:rsid w:val="006E548E"/>
    <w:rsid w:val="00704106"/>
    <w:rsid w:val="00711523"/>
    <w:rsid w:val="00732CF9"/>
    <w:rsid w:val="007341B5"/>
    <w:rsid w:val="007539A9"/>
    <w:rsid w:val="00754450"/>
    <w:rsid w:val="007728B3"/>
    <w:rsid w:val="007731C8"/>
    <w:rsid w:val="00780FED"/>
    <w:rsid w:val="00787FC5"/>
    <w:rsid w:val="00797E59"/>
    <w:rsid w:val="007A0CBB"/>
    <w:rsid w:val="007B4976"/>
    <w:rsid w:val="007C5B01"/>
    <w:rsid w:val="00803A3C"/>
    <w:rsid w:val="008048DD"/>
    <w:rsid w:val="008069FE"/>
    <w:rsid w:val="00811491"/>
    <w:rsid w:val="008342CD"/>
    <w:rsid w:val="008349A7"/>
    <w:rsid w:val="00835F99"/>
    <w:rsid w:val="00862B43"/>
    <w:rsid w:val="008640B2"/>
    <w:rsid w:val="00865092"/>
    <w:rsid w:val="008714A5"/>
    <w:rsid w:val="008808E9"/>
    <w:rsid w:val="00880A1E"/>
    <w:rsid w:val="00892319"/>
    <w:rsid w:val="00892350"/>
    <w:rsid w:val="00897FBF"/>
    <w:rsid w:val="008B0A97"/>
    <w:rsid w:val="008C5A5A"/>
    <w:rsid w:val="008C6FEA"/>
    <w:rsid w:val="008C7348"/>
    <w:rsid w:val="008E2825"/>
    <w:rsid w:val="008E33D5"/>
    <w:rsid w:val="00913CC1"/>
    <w:rsid w:val="00915505"/>
    <w:rsid w:val="00934344"/>
    <w:rsid w:val="009460D8"/>
    <w:rsid w:val="00956902"/>
    <w:rsid w:val="00975E5F"/>
    <w:rsid w:val="009764B4"/>
    <w:rsid w:val="00984049"/>
    <w:rsid w:val="00985B50"/>
    <w:rsid w:val="009860E2"/>
    <w:rsid w:val="00993E9B"/>
    <w:rsid w:val="0099639E"/>
    <w:rsid w:val="009D2D0D"/>
    <w:rsid w:val="009D6CC0"/>
    <w:rsid w:val="009D7647"/>
    <w:rsid w:val="009D78FD"/>
    <w:rsid w:val="009E0DDE"/>
    <w:rsid w:val="009F4A02"/>
    <w:rsid w:val="00A00A8F"/>
    <w:rsid w:val="00A1747E"/>
    <w:rsid w:val="00A23685"/>
    <w:rsid w:val="00A26D86"/>
    <w:rsid w:val="00A3098F"/>
    <w:rsid w:val="00A35361"/>
    <w:rsid w:val="00A71C4B"/>
    <w:rsid w:val="00A938B4"/>
    <w:rsid w:val="00A95978"/>
    <w:rsid w:val="00AA76DD"/>
    <w:rsid w:val="00AB6E55"/>
    <w:rsid w:val="00AD79FE"/>
    <w:rsid w:val="00AE07AA"/>
    <w:rsid w:val="00AE19B6"/>
    <w:rsid w:val="00AE5239"/>
    <w:rsid w:val="00AF3328"/>
    <w:rsid w:val="00AF4793"/>
    <w:rsid w:val="00AF5C6C"/>
    <w:rsid w:val="00B02C1C"/>
    <w:rsid w:val="00B222C2"/>
    <w:rsid w:val="00B22917"/>
    <w:rsid w:val="00B311CE"/>
    <w:rsid w:val="00B318B5"/>
    <w:rsid w:val="00B401A8"/>
    <w:rsid w:val="00B473D6"/>
    <w:rsid w:val="00B63FBB"/>
    <w:rsid w:val="00B67CB6"/>
    <w:rsid w:val="00B7675E"/>
    <w:rsid w:val="00B90710"/>
    <w:rsid w:val="00BA1C20"/>
    <w:rsid w:val="00BA27E4"/>
    <w:rsid w:val="00BA4891"/>
    <w:rsid w:val="00BC2DA7"/>
    <w:rsid w:val="00BE0D6E"/>
    <w:rsid w:val="00BE62A9"/>
    <w:rsid w:val="00C04B17"/>
    <w:rsid w:val="00C37FDF"/>
    <w:rsid w:val="00C4746D"/>
    <w:rsid w:val="00C65168"/>
    <w:rsid w:val="00C66538"/>
    <w:rsid w:val="00C66693"/>
    <w:rsid w:val="00CC08FF"/>
    <w:rsid w:val="00CC14AA"/>
    <w:rsid w:val="00CC3A90"/>
    <w:rsid w:val="00CD201E"/>
    <w:rsid w:val="00CE1C27"/>
    <w:rsid w:val="00CE5CE5"/>
    <w:rsid w:val="00CF6F4D"/>
    <w:rsid w:val="00D00086"/>
    <w:rsid w:val="00D06240"/>
    <w:rsid w:val="00D0700D"/>
    <w:rsid w:val="00D07BB0"/>
    <w:rsid w:val="00D10509"/>
    <w:rsid w:val="00D274C2"/>
    <w:rsid w:val="00D33AE6"/>
    <w:rsid w:val="00D422F9"/>
    <w:rsid w:val="00D42A64"/>
    <w:rsid w:val="00D436B2"/>
    <w:rsid w:val="00D43D85"/>
    <w:rsid w:val="00D477FD"/>
    <w:rsid w:val="00D513F3"/>
    <w:rsid w:val="00D60F16"/>
    <w:rsid w:val="00D747EF"/>
    <w:rsid w:val="00D773C1"/>
    <w:rsid w:val="00D80287"/>
    <w:rsid w:val="00D810C1"/>
    <w:rsid w:val="00D92F45"/>
    <w:rsid w:val="00DB6890"/>
    <w:rsid w:val="00DD66E8"/>
    <w:rsid w:val="00DD7AAE"/>
    <w:rsid w:val="00DD7CDD"/>
    <w:rsid w:val="00E02434"/>
    <w:rsid w:val="00E168D0"/>
    <w:rsid w:val="00E2555A"/>
    <w:rsid w:val="00E36106"/>
    <w:rsid w:val="00E41655"/>
    <w:rsid w:val="00E44AC8"/>
    <w:rsid w:val="00E458B3"/>
    <w:rsid w:val="00E67F6E"/>
    <w:rsid w:val="00E84D70"/>
    <w:rsid w:val="00E84F6D"/>
    <w:rsid w:val="00E959CE"/>
    <w:rsid w:val="00EA033B"/>
    <w:rsid w:val="00EA13EE"/>
    <w:rsid w:val="00EA2C17"/>
    <w:rsid w:val="00EC1AFF"/>
    <w:rsid w:val="00EC244F"/>
    <w:rsid w:val="00EF0DD4"/>
    <w:rsid w:val="00F053A4"/>
    <w:rsid w:val="00F06406"/>
    <w:rsid w:val="00F073C0"/>
    <w:rsid w:val="00F1068D"/>
    <w:rsid w:val="00F21F4D"/>
    <w:rsid w:val="00F240C3"/>
    <w:rsid w:val="00F27B3A"/>
    <w:rsid w:val="00F356F8"/>
    <w:rsid w:val="00F37968"/>
    <w:rsid w:val="00F52258"/>
    <w:rsid w:val="00F64E56"/>
    <w:rsid w:val="00F70CF8"/>
    <w:rsid w:val="00F82A74"/>
    <w:rsid w:val="00F92FF8"/>
    <w:rsid w:val="00FA506B"/>
    <w:rsid w:val="00FB36EF"/>
    <w:rsid w:val="00FC7A0C"/>
    <w:rsid w:val="00FD5F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777D"/>
    <w:pPr>
      <w:widowControl w:val="0"/>
    </w:pPr>
    <w:rPr>
      <w:rFonts w:ascii="Times New Roman" w:hAnsi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4049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4049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84049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84049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apple-style-span">
    <w:name w:val="apple-style-span"/>
    <w:basedOn w:val="DefaultParagraphFont"/>
    <w:uiPriority w:val="99"/>
    <w:rsid w:val="0066777D"/>
    <w:rPr>
      <w:rFonts w:cs="Times New Roman"/>
    </w:rPr>
  </w:style>
  <w:style w:type="paragraph" w:styleId="ListParagraph">
    <w:name w:val="List Paragraph"/>
    <w:basedOn w:val="Normal"/>
    <w:uiPriority w:val="99"/>
    <w:qFormat/>
    <w:rsid w:val="00BA1C20"/>
    <w:pPr>
      <w:ind w:leftChars="200" w:left="480"/>
    </w:pPr>
  </w:style>
  <w:style w:type="character" w:styleId="Hyperlink">
    <w:name w:val="Hyperlink"/>
    <w:basedOn w:val="DefaultParagraphFont"/>
    <w:uiPriority w:val="99"/>
    <w:rsid w:val="001E1A8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1E1A8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semiHidden/>
    <w:rsid w:val="00D070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0700D"/>
    <w:rPr>
      <w:rFonts w:ascii="Times New Roman" w:eastAsia="新細明體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070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0700D"/>
    <w:rPr>
      <w:rFonts w:ascii="Times New Roman" w:eastAsia="新細明體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D0700D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D0700D"/>
    <w:rPr>
      <w:rFonts w:ascii="Cambria" w:hAnsi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0700D"/>
    <w:rPr>
      <w:rFonts w:ascii="Cambria" w:eastAsia="新細明體" w:hAnsi="Cambria" w:cs="Times New Roman"/>
      <w:sz w:val="18"/>
      <w:szCs w:val="18"/>
    </w:rPr>
  </w:style>
  <w:style w:type="paragraph" w:customStyle="1" w:styleId="font5">
    <w:name w:val="font5"/>
    <w:basedOn w:val="Normal"/>
    <w:uiPriority w:val="99"/>
    <w:rsid w:val="0069576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Normal"/>
    <w:uiPriority w:val="99"/>
    <w:rsid w:val="00695768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Normal"/>
    <w:uiPriority w:val="99"/>
    <w:rsid w:val="00695768"/>
    <w:pPr>
      <w:widowControl/>
      <w:pBdr>
        <w:bottom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character" w:customStyle="1" w:styleId="ecxapple-style-span">
    <w:name w:val="ecxapple-style-span"/>
    <w:basedOn w:val="DefaultParagraphFont"/>
    <w:uiPriority w:val="99"/>
    <w:rsid w:val="002D712E"/>
    <w:rPr>
      <w:rFonts w:cs="Times New Roman"/>
    </w:rPr>
  </w:style>
  <w:style w:type="paragraph" w:styleId="TOC2">
    <w:name w:val="toc 2"/>
    <w:basedOn w:val="Normal"/>
    <w:next w:val="Normal"/>
    <w:autoRedefine/>
    <w:uiPriority w:val="99"/>
    <w:rsid w:val="00880A1E"/>
    <w:pPr>
      <w:widowControl/>
      <w:spacing w:after="100" w:line="276" w:lineRule="auto"/>
      <w:ind w:left="220"/>
    </w:pPr>
    <w:rPr>
      <w:rFonts w:ascii="Calibri" w:hAnsi="Calibri"/>
      <w:kern w:val="0"/>
      <w:sz w:val="22"/>
      <w:szCs w:val="22"/>
    </w:rPr>
  </w:style>
  <w:style w:type="paragraph" w:styleId="TOC1">
    <w:name w:val="toc 1"/>
    <w:basedOn w:val="Normal"/>
    <w:next w:val="Normal"/>
    <w:autoRedefine/>
    <w:uiPriority w:val="99"/>
    <w:rsid w:val="00B311CE"/>
    <w:pPr>
      <w:widowControl/>
      <w:tabs>
        <w:tab w:val="right" w:leader="dot" w:pos="8302"/>
      </w:tabs>
      <w:spacing w:after="100" w:line="276" w:lineRule="auto"/>
    </w:pPr>
    <w:rPr>
      <w:rFonts w:ascii="新細明體" w:hAnsi="新細明體"/>
      <w:kern w:val="0"/>
    </w:rPr>
  </w:style>
  <w:style w:type="character" w:styleId="CommentReference">
    <w:name w:val="annotation reference"/>
    <w:basedOn w:val="DefaultParagraphFont"/>
    <w:uiPriority w:val="99"/>
    <w:semiHidden/>
    <w:rsid w:val="00CE1C27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rsid w:val="00CE1C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E1C27"/>
    <w:rPr>
      <w:rFonts w:ascii="Times New Roman" w:eastAsia="新細明體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E1C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E1C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7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png"/><Relationship Id="rId54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://mba.tuck.dartmouth.edu/pages/faculty/ken.french/data_library.html&#12290;&#26412;&#30740;&#31350;&#30340;&#36039;&#26009;&#36215;&#26044;&#35199;&#20803;1995&#24180;1&#26376;&#33267;2009&#24180;12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15</Pages>
  <Words>2025</Words>
  <Characters>11546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2010年兩岸暑期學術交流 專題報告</dc:title>
  <dc:subject/>
  <dc:creator>kiki</dc:creator>
  <cp:keywords/>
  <dc:description/>
  <cp:lastModifiedBy>user</cp:lastModifiedBy>
  <cp:revision>2</cp:revision>
  <dcterms:created xsi:type="dcterms:W3CDTF">2010-09-14T00:55:00Z</dcterms:created>
  <dcterms:modified xsi:type="dcterms:W3CDTF">2010-09-14T00:55:00Z</dcterms:modified>
</cp:coreProperties>
</file>